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79" w:line="286" w:lineRule="auto"/>
        <w:ind w:left="3536" w:right="1929" w:hanging="3530"/>
        <w:rPr>
          <w:rFonts w:hint="eastAsia" w:ascii="黑体" w:hAnsi="黑体" w:eastAsia="黑体" w:cs="黑体"/>
          <w:b/>
          <w:bCs/>
          <w:spacing w:val="21"/>
          <w:sz w:val="44"/>
          <w:szCs w:val="44"/>
        </w:rPr>
      </w:pPr>
      <w:bookmarkStart w:id="0" w:name="_GoBack"/>
      <w:r>
        <w:rPr>
          <w:rFonts w:hint="eastAsia" w:ascii="黑体" w:hAnsi="黑体" w:eastAsia="黑体" w:cs="黑体"/>
          <w:b/>
          <w:bCs/>
          <w:spacing w:val="21"/>
          <w:sz w:val="44"/>
          <w:szCs w:val="44"/>
        </w:rPr>
        <w:t>附件1:</w:t>
      </w:r>
    </w:p>
    <w:p>
      <w:pPr>
        <w:bidi w:val="0"/>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年“爱的滋润”项目</w:t>
      </w:r>
    </w:p>
    <w:p>
      <w:pPr>
        <w:bidi w:val="0"/>
        <w:jc w:val="center"/>
        <w:rPr>
          <w:rFonts w:hint="eastAsia" w:ascii="黑体" w:hAnsi="黑体" w:eastAsia="黑体" w:cs="黑体"/>
          <w:sz w:val="44"/>
          <w:szCs w:val="44"/>
        </w:rPr>
      </w:pPr>
      <w:r>
        <w:rPr>
          <w:rFonts w:hint="eastAsia" w:ascii="黑体" w:hAnsi="黑体" w:eastAsia="黑体" w:cs="黑体"/>
          <w:sz w:val="44"/>
          <w:szCs w:val="44"/>
        </w:rPr>
        <w:t>物资接收和发放流程</w:t>
      </w:r>
    </w:p>
    <w:bookmarkEnd w:id="0"/>
    <w:p>
      <w:pPr>
        <w:bidi w:val="0"/>
        <w:jc w:val="center"/>
        <w:rPr>
          <w:rFonts w:hint="eastAsia" w:ascii="黑体" w:hAnsi="黑体" w:eastAsia="黑体" w:cs="黑体"/>
          <w:sz w:val="44"/>
          <w:szCs w:val="44"/>
        </w:rPr>
      </w:pPr>
    </w:p>
    <w:p>
      <w:pPr>
        <w:spacing w:before="120" w:line="222" w:lineRule="auto"/>
        <w:ind w:left="785"/>
        <w:outlineLvl w:val="1"/>
        <w:rPr>
          <w:rFonts w:hint="eastAsia" w:ascii="仿宋" w:hAnsi="仿宋" w:eastAsia="仿宋" w:cs="仿宋"/>
          <w:b w:val="0"/>
          <w:bCs w:val="0"/>
          <w:sz w:val="32"/>
          <w:szCs w:val="32"/>
        </w:rPr>
      </w:pPr>
      <w:r>
        <w:rPr>
          <w:rFonts w:hint="eastAsia" w:ascii="仿宋" w:hAnsi="仿宋" w:eastAsia="仿宋" w:cs="仿宋"/>
          <w:b w:val="0"/>
          <w:bCs w:val="0"/>
          <w:spacing w:val="9"/>
          <w:sz w:val="32"/>
          <w:szCs w:val="32"/>
        </w:rPr>
        <w:t>一、收货准备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(一)当次产品品类及大体数量确定后，各地机构提前安排接货仓库地址，指定项目负责人及联系电话。</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(二)收货地址应能确保物资完整、安全存放，对于乳液类捐赠产品注意冬季保温。负责人做好后续物资保管，地址确定后，尽量避免随意变更收货地址。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(三)当次捐赠产品发出前，我会及捐赠方将告知发货日期、发货清单等信息，各地做好产品接收准备。各机构及时与我会项目联系人对接具体发、到货日期。</w:t>
      </w:r>
    </w:p>
    <w:p>
      <w:pPr>
        <w:spacing w:before="120" w:line="222" w:lineRule="auto"/>
        <w:ind w:left="785"/>
        <w:outlineLvl w:val="1"/>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二、收货清点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(一)记录留存信息。第三方运输公司的送货车辆到达时，各项目地由项目负责人确认车厢</w:t>
      </w:r>
      <w:r>
        <w:rPr>
          <w:rFonts w:hint="eastAsia" w:ascii="仿宋" w:hAnsi="仿宋" w:eastAsia="仿宋" w:cs="仿宋"/>
          <w:b/>
          <w:bCs/>
          <w:snapToGrid/>
          <w:kern w:val="0"/>
          <w:sz w:val="32"/>
          <w:szCs w:val="32"/>
          <w:lang w:val="en-US" w:eastAsia="zh-CN"/>
        </w:rPr>
        <w:t>封条完好</w:t>
      </w:r>
      <w:r>
        <w:rPr>
          <w:rFonts w:hint="eastAsia" w:ascii="仿宋" w:hAnsi="仿宋" w:eastAsia="仿宋" w:cs="仿宋"/>
          <w:snapToGrid/>
          <w:kern w:val="0"/>
          <w:sz w:val="32"/>
          <w:szCs w:val="32"/>
          <w:lang w:val="en-US" w:eastAsia="zh-CN"/>
        </w:rPr>
        <w:t>，</w:t>
      </w:r>
      <w:r>
        <w:rPr>
          <w:rFonts w:hint="eastAsia" w:ascii="仿宋" w:hAnsi="仿宋" w:eastAsia="仿宋" w:cs="仿宋"/>
          <w:b/>
          <w:bCs/>
          <w:snapToGrid/>
          <w:kern w:val="0"/>
          <w:sz w:val="32"/>
          <w:szCs w:val="32"/>
          <w:lang w:val="en-US" w:eastAsia="zh-CN"/>
        </w:rPr>
        <w:t>并将封条及封条数字编码清晰拍照后再打开车门</w:t>
      </w:r>
      <w:r>
        <w:rPr>
          <w:rFonts w:hint="eastAsia" w:ascii="仿宋" w:hAnsi="仿宋" w:eastAsia="仿宋" w:cs="仿宋"/>
          <w:snapToGrid/>
          <w:kern w:val="0"/>
          <w:sz w:val="32"/>
          <w:szCs w:val="32"/>
          <w:lang w:val="en-US" w:eastAsia="zh-CN"/>
        </w:rPr>
        <w:t>；</w:t>
      </w:r>
      <w:r>
        <w:rPr>
          <w:rFonts w:hint="eastAsia" w:ascii="仿宋" w:hAnsi="仿宋" w:eastAsia="仿宋" w:cs="仿宋"/>
          <w:b/>
          <w:bCs/>
          <w:snapToGrid/>
          <w:kern w:val="0"/>
          <w:sz w:val="32"/>
          <w:szCs w:val="32"/>
          <w:lang w:val="en-US" w:eastAsia="zh-CN"/>
        </w:rPr>
        <w:t>如封条不完整需第一时间通知我会及捐赠方，暂停收货，</w:t>
      </w:r>
      <w:r>
        <w:rPr>
          <w:rFonts w:hint="eastAsia" w:ascii="仿宋" w:hAnsi="仿宋" w:eastAsia="仿宋" w:cs="仿宋"/>
          <w:snapToGrid/>
          <w:kern w:val="0"/>
          <w:sz w:val="32"/>
          <w:szCs w:val="32"/>
          <w:lang w:val="en-US" w:eastAsia="zh-CN"/>
        </w:rPr>
        <w:t>以便进行核查，厘清相关责任。及时将接货封条及数字编码图片、视频发我会及捐赠方保存。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(二) 卸货清点 。捐赠物资卸车时，由项目负责人及负责人指定的人员进行现场清点。清点内容为：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1.本次到货的总箱数；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2.标注为“重点产品”的套(个)数；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3.标注为“次重点产品”的箱数；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(三) 捐赠物资请当天清点完毕，确认以上三项内容与捐赠方提供的发货清单及司机的送货单核对无误后再签收；如当天确实无法清点完的，应与送货司机协商，在送货司机认可的情况下在次日继续清点；避免未清点直接签收导致数量与发货单不一致，无法确认责任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color w:val="000000"/>
          <w:kern w:val="0"/>
          <w:sz w:val="32"/>
          <w:szCs w:val="32"/>
          <w:lang w:val="en-US" w:eastAsia="zh-CN" w:bidi="ar-SA"/>
        </w:rPr>
      </w:pPr>
      <w:r>
        <w:rPr>
          <w:rFonts w:hint="eastAsia" w:ascii="仿宋" w:hAnsi="仿宋" w:eastAsia="仿宋" w:cs="仿宋"/>
          <w:snapToGrid/>
          <w:color w:val="000000"/>
          <w:kern w:val="0"/>
          <w:sz w:val="32"/>
          <w:szCs w:val="32"/>
          <w:lang w:val="en-US" w:eastAsia="zh-CN" w:bidi="ar-SA"/>
        </w:rPr>
        <w:t>（四）清点时，如发现物资</w:t>
      </w:r>
      <w:r>
        <w:rPr>
          <w:rFonts w:hint="eastAsia" w:ascii="仿宋" w:hAnsi="仿宋" w:eastAsia="仿宋" w:cs="仿宋"/>
          <w:b/>
          <w:bCs/>
          <w:snapToGrid/>
          <w:color w:val="000000"/>
          <w:kern w:val="0"/>
          <w:sz w:val="32"/>
          <w:szCs w:val="32"/>
          <w:lang w:val="en-US" w:eastAsia="zh-CN" w:bidi="ar-SA"/>
        </w:rPr>
        <w:t>破损</w:t>
      </w:r>
      <w:r>
        <w:rPr>
          <w:rFonts w:hint="eastAsia" w:ascii="仿宋" w:hAnsi="仿宋" w:eastAsia="仿宋" w:cs="仿宋"/>
          <w:snapToGrid/>
          <w:color w:val="000000"/>
          <w:kern w:val="0"/>
          <w:sz w:val="32"/>
          <w:szCs w:val="32"/>
          <w:lang w:val="en-US" w:eastAsia="zh-CN" w:bidi="ar-SA"/>
        </w:rPr>
        <w:t>、数量品目与发货清单</w:t>
      </w:r>
      <w:r>
        <w:rPr>
          <w:rFonts w:hint="eastAsia" w:ascii="仿宋" w:hAnsi="仿宋" w:eastAsia="仿宋" w:cs="仿宋"/>
          <w:b/>
          <w:bCs/>
          <w:snapToGrid/>
          <w:color w:val="000000"/>
          <w:kern w:val="0"/>
          <w:sz w:val="32"/>
          <w:szCs w:val="32"/>
          <w:lang w:val="en-US" w:eastAsia="zh-CN" w:bidi="ar-SA"/>
        </w:rPr>
        <w:t>不符</w:t>
      </w:r>
      <w:r>
        <w:rPr>
          <w:rFonts w:hint="eastAsia" w:ascii="仿宋" w:hAnsi="仿宋" w:eastAsia="仿宋" w:cs="仿宋"/>
          <w:snapToGrid/>
          <w:color w:val="000000"/>
          <w:kern w:val="0"/>
          <w:sz w:val="32"/>
          <w:szCs w:val="32"/>
          <w:lang w:val="en-US" w:eastAsia="zh-CN" w:bidi="ar-SA"/>
        </w:rPr>
        <w:t>或与送货司机提供的送货单不符，</w:t>
      </w:r>
      <w:r>
        <w:rPr>
          <w:rFonts w:hint="eastAsia" w:ascii="仿宋" w:hAnsi="仿宋" w:eastAsia="仿宋" w:cs="仿宋"/>
          <w:b/>
          <w:bCs/>
          <w:snapToGrid/>
          <w:color w:val="000000"/>
          <w:kern w:val="0"/>
          <w:sz w:val="32"/>
          <w:szCs w:val="32"/>
          <w:lang w:val="en-US" w:eastAsia="zh-CN" w:bidi="ar-SA"/>
        </w:rPr>
        <w:t>请务必要求司机当场确认并签字，</w:t>
      </w:r>
      <w:r>
        <w:rPr>
          <w:rFonts w:hint="eastAsia" w:ascii="仿宋" w:hAnsi="仿宋" w:eastAsia="仿宋" w:cs="仿宋"/>
          <w:snapToGrid/>
          <w:color w:val="000000"/>
          <w:kern w:val="0"/>
          <w:sz w:val="32"/>
          <w:szCs w:val="32"/>
          <w:lang w:val="en-US" w:eastAsia="zh-CN" w:bidi="ar-SA"/>
        </w:rPr>
        <w:t>对于司机认可的增多、不符、短缺或破损，捐赠方根据物资 实际情况告知需要核减、调换、补发事项。</w:t>
      </w:r>
    </w:p>
    <w:p>
      <w:pPr>
        <w:spacing w:before="120" w:line="222" w:lineRule="auto"/>
        <w:ind w:firstLine="676" w:firstLineChars="200"/>
        <w:outlineLvl w:val="1"/>
        <w:rPr>
          <w:rFonts w:hint="eastAsia" w:ascii="仿宋" w:hAnsi="仿宋" w:eastAsia="仿宋" w:cs="仿宋"/>
          <w:b w:val="0"/>
          <w:bCs w:val="0"/>
          <w:spacing w:val="9"/>
          <w:sz w:val="32"/>
          <w:szCs w:val="32"/>
        </w:rPr>
      </w:pPr>
      <w:r>
        <w:rPr>
          <w:rFonts w:hint="eastAsia" w:ascii="仿宋" w:hAnsi="仿宋" w:eastAsia="仿宋" w:cs="仿宋"/>
          <w:b w:val="0"/>
          <w:bCs w:val="0"/>
          <w:spacing w:val="9"/>
          <w:sz w:val="32"/>
          <w:szCs w:val="32"/>
        </w:rPr>
        <w:t>三、物资发放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1. 所有物资应当尽量在1—2个月内发放完毕并告知最终受益人在捐赠物品外包装或容器上所标识的保质期内进行使用。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2. 发放完毕后请提供本次捐赠物资的发放记录，包含：</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0"/>
          <w:sz w:val="32"/>
          <w:szCs w:val="32"/>
          <w:lang w:val="en-US" w:eastAsia="zh-CN"/>
        </w:rPr>
      </w:pPr>
      <w:r>
        <w:rPr>
          <w:rFonts w:hint="eastAsia" w:ascii="仿宋" w:hAnsi="仿宋" w:eastAsia="仿宋" w:cs="仿宋"/>
          <w:snapToGrid/>
          <w:kern w:val="0"/>
          <w:sz w:val="32"/>
          <w:szCs w:val="32"/>
          <w:lang w:val="en-US" w:eastAsia="zh-CN"/>
        </w:rPr>
        <w:t>1)最终接收物资的各机构单位名称、联系人、联系方式及发放品目和数量，整理汇总分配表和受助单位接收产品明细并签字盖章；其中重点产品需提供每套(个)产品的受益人领取的签收单（附件2）；其他产品签收填写项目受助人信息表（附件3）；上述材料需电子扫描版资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kern w:val="0"/>
          <w:sz w:val="32"/>
          <w:szCs w:val="32"/>
          <w:lang w:val="en-US" w:eastAsia="zh-CN"/>
        </w:rPr>
        <w:sectPr>
          <w:footerReference r:id="rId5" w:type="default"/>
          <w:pgSz w:w="11906" w:h="16838"/>
          <w:pgMar w:top="1440" w:right="1800" w:bottom="1440" w:left="1800" w:header="851" w:footer="992" w:gutter="0"/>
          <w:pgNumType w:start="2"/>
          <w:cols w:space="425" w:num="1"/>
          <w:docGrid w:type="lines" w:linePitch="312" w:charSpace="0"/>
        </w:sectPr>
      </w:pPr>
      <w:r>
        <w:rPr>
          <w:rFonts w:hint="eastAsia" w:ascii="仿宋" w:hAnsi="仿宋" w:eastAsia="仿宋" w:cs="仿宋"/>
          <w:snapToGrid/>
          <w:kern w:val="0"/>
          <w:sz w:val="32"/>
          <w:szCs w:val="32"/>
          <w:lang w:val="en-US" w:eastAsia="zh-CN"/>
        </w:rPr>
        <w:t>2)对每次捐赠物资发放的受益对象(接收单位或受益人本人/家人)需进行电话回访抽查，并对抽查情况进行记录；需纸质版或者电子扫描版资料。</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FD3919"/>
    <w:rsid w:val="B2FD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2026-02-02T14:35:00Z</dcterms:created>
  <dc:creator>田玉</dc:creator>
  <cp:lastModifiedBy>田玉</cp:lastModifiedBy>
  <dcterms:modified xsi:type="dcterms:W3CDTF">2026-02-02T14:35:59Z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C522EC0BC057E861A64580698FDCBF58_41</vt:lpwstr>
  </property>
</Properties>
</file>