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eastAsia" w:ascii="宋体" w:hAnsi="宋体" w:eastAsia="宋体" w:cs="宋体"/>
          <w:b/>
          <w:bCs w:val="0"/>
          <w:sz w:val="32"/>
          <w:szCs w:val="32"/>
          <w:lang w:val="en-US" w:eastAsia="zh-CN"/>
        </w:rPr>
      </w:pPr>
    </w:p>
    <w:p>
      <w:pPr>
        <w:jc w:val="both"/>
        <w:rPr>
          <w:rFonts w:hint="default"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附件</w:t>
      </w:r>
    </w:p>
    <w:p>
      <w:pPr>
        <w:jc w:val="center"/>
        <w:rPr>
          <w:rFonts w:hint="eastAsia" w:ascii="宋体" w:hAnsi="宋体" w:eastAsia="宋体" w:cs="宋体"/>
          <w:b/>
          <w:bCs w:val="0"/>
          <w:sz w:val="44"/>
          <w:szCs w:val="44"/>
        </w:rPr>
      </w:pPr>
      <w:bookmarkStart w:id="0" w:name="_GoBack"/>
      <w:r>
        <w:rPr>
          <w:rFonts w:hint="eastAsia" w:ascii="宋体" w:hAnsi="宋体" w:eastAsia="宋体" w:cs="宋体"/>
          <w:b/>
          <w:bCs w:val="0"/>
          <w:sz w:val="44"/>
          <w:szCs w:val="44"/>
          <w:lang w:val="en-US" w:eastAsia="zh-CN"/>
        </w:rPr>
        <w:t>2026年</w:t>
      </w:r>
      <w:r>
        <w:rPr>
          <w:rFonts w:hint="eastAsia" w:ascii="宋体" w:hAnsi="宋体" w:eastAsia="宋体" w:cs="宋体"/>
          <w:b/>
          <w:bCs w:val="0"/>
          <w:sz w:val="44"/>
          <w:szCs w:val="44"/>
        </w:rPr>
        <w:t>“</w:t>
      </w:r>
      <w:r>
        <w:rPr>
          <w:rFonts w:hint="eastAsia" w:ascii="宋体" w:hAnsi="宋体" w:eastAsia="宋体" w:cs="宋体"/>
          <w:b/>
          <w:bCs w:val="0"/>
          <w:sz w:val="44"/>
          <w:szCs w:val="44"/>
          <w:lang w:val="en-US" w:eastAsia="zh-CN"/>
        </w:rPr>
        <w:t>启明行动”眼病</w:t>
      </w:r>
      <w:r>
        <w:rPr>
          <w:rFonts w:hint="eastAsia" w:ascii="宋体" w:hAnsi="宋体" w:eastAsia="宋体" w:cs="宋体"/>
          <w:b/>
          <w:bCs w:val="0"/>
          <w:sz w:val="44"/>
          <w:szCs w:val="44"/>
        </w:rPr>
        <w:t>项目方案</w:t>
      </w:r>
      <w:bookmarkEnd w:id="0"/>
    </w:p>
    <w:p>
      <w:pPr>
        <w:jc w:val="center"/>
        <w:rPr>
          <w:rFonts w:hint="eastAsia" w:ascii="宋体" w:hAnsi="宋体" w:eastAsia="宋体" w:cs="宋体"/>
          <w:b/>
          <w:bCs w:val="0"/>
          <w:sz w:val="44"/>
          <w:szCs w:val="44"/>
        </w:rPr>
      </w:pPr>
    </w:p>
    <w:tbl>
      <w:tblPr>
        <w:tblStyle w:val="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43"/>
        <w:gridCol w:w="5579"/>
      </w:tblGrid>
      <w:tr>
        <w:tc>
          <w:tcPr>
            <w:tcW w:w="2943" w:type="dxa"/>
            <w:noWrap w:val="0"/>
            <w:vAlign w:val="top"/>
          </w:tcPr>
          <w:p>
            <w:pPr>
              <w:rPr>
                <w:rFonts w:hint="eastAsia" w:ascii="仿宋" w:hAnsi="仿宋" w:eastAsia="仿宋"/>
                <w:sz w:val="30"/>
                <w:szCs w:val="30"/>
              </w:rPr>
            </w:pPr>
            <w:r>
              <w:rPr>
                <w:rFonts w:ascii="仿宋" w:hAnsi="仿宋" w:eastAsia="仿宋"/>
                <w:sz w:val="30"/>
                <w:szCs w:val="30"/>
              </w:rPr>
              <w:t>项目名称</w:t>
            </w:r>
          </w:p>
        </w:tc>
        <w:tc>
          <w:tcPr>
            <w:tcW w:w="5579" w:type="dxa"/>
            <w:noWrap w:val="0"/>
            <w:vAlign w:val="top"/>
          </w:tcPr>
          <w:p>
            <w:pPr>
              <w:rPr>
                <w:rFonts w:hint="eastAsia" w:ascii="仿宋" w:hAnsi="仿宋" w:eastAsia="仿宋"/>
                <w:sz w:val="30"/>
                <w:szCs w:val="30"/>
              </w:rPr>
            </w:pPr>
            <w:r>
              <w:rPr>
                <w:rFonts w:hint="eastAsia" w:ascii="仿宋" w:hAnsi="仿宋" w:eastAsia="仿宋" w:cs="仿宋"/>
                <w:b w:val="0"/>
                <w:bCs/>
                <w:sz w:val="30"/>
                <w:szCs w:val="30"/>
              </w:rPr>
              <w:t>“</w:t>
            </w:r>
            <w:r>
              <w:rPr>
                <w:rFonts w:hint="eastAsia" w:ascii="仿宋" w:hAnsi="仿宋" w:eastAsia="仿宋" w:cs="仿宋"/>
                <w:b w:val="0"/>
                <w:bCs/>
                <w:sz w:val="30"/>
                <w:szCs w:val="30"/>
                <w:lang w:val="en-US" w:eastAsia="zh-CN"/>
              </w:rPr>
              <w:t>启明行动</w:t>
            </w:r>
            <w:r>
              <w:rPr>
                <w:rFonts w:hint="eastAsia" w:ascii="仿宋" w:hAnsi="仿宋" w:eastAsia="仿宋" w:cs="仿宋"/>
                <w:b w:val="0"/>
                <w:bCs/>
                <w:sz w:val="30"/>
                <w:szCs w:val="30"/>
              </w:rPr>
              <w:t>”</w:t>
            </w:r>
            <w:r>
              <w:rPr>
                <w:rFonts w:hint="eastAsia" w:ascii="仿宋" w:hAnsi="仿宋" w:eastAsia="仿宋" w:cs="仿宋"/>
                <w:b w:val="0"/>
                <w:bCs/>
                <w:sz w:val="30"/>
                <w:szCs w:val="30"/>
                <w:lang w:val="en-US" w:eastAsia="zh-CN"/>
              </w:rPr>
              <w:t>眼病</w:t>
            </w:r>
            <w:r>
              <w:rPr>
                <w:rFonts w:hint="eastAsia" w:ascii="仿宋" w:hAnsi="仿宋" w:eastAsia="仿宋" w:cs="仿宋"/>
                <w:b w:val="0"/>
                <w:bCs/>
                <w:sz w:val="30"/>
                <w:szCs w:val="30"/>
              </w:rPr>
              <w:t>项目</w:t>
            </w:r>
          </w:p>
        </w:tc>
      </w:tr>
      <w:tr>
        <w:tc>
          <w:tcPr>
            <w:tcW w:w="2943" w:type="dxa"/>
            <w:noWrap w:val="0"/>
            <w:vAlign w:val="top"/>
          </w:tcPr>
          <w:p>
            <w:pPr>
              <w:rPr>
                <w:rFonts w:hint="eastAsia" w:ascii="仿宋" w:hAnsi="仿宋" w:eastAsia="仿宋"/>
                <w:sz w:val="30"/>
                <w:szCs w:val="30"/>
              </w:rPr>
            </w:pPr>
            <w:r>
              <w:rPr>
                <w:rFonts w:ascii="仿宋" w:hAnsi="仿宋" w:eastAsia="仿宋"/>
                <w:sz w:val="30"/>
                <w:szCs w:val="30"/>
              </w:rPr>
              <w:t>基金会公益产品类别</w:t>
            </w:r>
          </w:p>
        </w:tc>
        <w:tc>
          <w:tcPr>
            <w:tcW w:w="5579" w:type="dxa"/>
            <w:noWrap w:val="0"/>
            <w:vAlign w:val="top"/>
          </w:tcPr>
          <w:p>
            <w:pPr>
              <w:rPr>
                <w:rFonts w:hint="eastAsia" w:ascii="仿宋" w:hAnsi="仿宋" w:eastAsia="仿宋"/>
                <w:sz w:val="30"/>
                <w:szCs w:val="30"/>
                <w:lang w:val="en-US" w:eastAsia="zh-CN"/>
              </w:rPr>
            </w:pPr>
            <w:r>
              <w:rPr>
                <w:rFonts w:hint="eastAsia" w:ascii="仿宋" w:hAnsi="仿宋" w:eastAsia="仿宋"/>
                <w:sz w:val="30"/>
                <w:szCs w:val="30"/>
                <w:lang w:val="en-US" w:eastAsia="zh-CN"/>
              </w:rPr>
              <w:t>康复类</w:t>
            </w:r>
          </w:p>
        </w:tc>
      </w:tr>
      <w:tr>
        <w:tc>
          <w:tcPr>
            <w:tcW w:w="2943" w:type="dxa"/>
            <w:noWrap w:val="0"/>
            <w:vAlign w:val="top"/>
          </w:tcPr>
          <w:p>
            <w:pPr>
              <w:rPr>
                <w:rFonts w:hint="eastAsia" w:ascii="仿宋" w:hAnsi="仿宋" w:eastAsia="仿宋"/>
                <w:sz w:val="30"/>
                <w:szCs w:val="30"/>
              </w:rPr>
            </w:pPr>
            <w:r>
              <w:rPr>
                <w:rFonts w:ascii="仿宋" w:hAnsi="仿宋" w:eastAsia="仿宋"/>
                <w:sz w:val="30"/>
                <w:szCs w:val="30"/>
              </w:rPr>
              <w:t>项目执行单位</w:t>
            </w:r>
          </w:p>
        </w:tc>
        <w:tc>
          <w:tcPr>
            <w:tcW w:w="5579" w:type="dxa"/>
            <w:noWrap w:val="0"/>
            <w:vAlign w:val="top"/>
          </w:tcPr>
          <w:p>
            <w:pPr>
              <w:rPr>
                <w:rFonts w:hint="default" w:ascii="仿宋" w:hAnsi="仿宋" w:eastAsia="仿宋"/>
                <w:sz w:val="30"/>
                <w:szCs w:val="30"/>
                <w:lang w:val="en-US" w:eastAsia="zh-CN"/>
              </w:rPr>
            </w:pPr>
            <w:r>
              <w:rPr>
                <w:rFonts w:hint="eastAsia" w:ascii="仿宋" w:hAnsi="仿宋" w:eastAsia="仿宋"/>
                <w:sz w:val="30"/>
                <w:szCs w:val="30"/>
                <w:lang w:val="en-US" w:eastAsia="zh-CN"/>
              </w:rPr>
              <w:t>中国残疾人福利基金会</w:t>
            </w:r>
          </w:p>
        </w:tc>
      </w:tr>
      <w:tr>
        <w:tc>
          <w:tcPr>
            <w:tcW w:w="2943" w:type="dxa"/>
            <w:noWrap w:val="0"/>
            <w:vAlign w:val="top"/>
          </w:tcPr>
          <w:p>
            <w:pPr>
              <w:rPr>
                <w:rFonts w:hint="eastAsia" w:ascii="仿宋" w:hAnsi="仿宋" w:eastAsia="仿宋"/>
                <w:sz w:val="30"/>
                <w:szCs w:val="30"/>
              </w:rPr>
            </w:pPr>
            <w:r>
              <w:rPr>
                <w:rFonts w:ascii="仿宋" w:hAnsi="仿宋" w:eastAsia="仿宋"/>
                <w:sz w:val="30"/>
                <w:szCs w:val="30"/>
              </w:rPr>
              <w:t>项目负责部门</w:t>
            </w:r>
          </w:p>
        </w:tc>
        <w:tc>
          <w:tcPr>
            <w:tcW w:w="5579" w:type="dxa"/>
            <w:noWrap w:val="0"/>
            <w:vAlign w:val="top"/>
          </w:tcPr>
          <w:p>
            <w:pPr>
              <w:rPr>
                <w:rFonts w:hint="default" w:ascii="仿宋" w:hAnsi="仿宋" w:eastAsia="仿宋"/>
                <w:sz w:val="30"/>
                <w:szCs w:val="30"/>
                <w:lang w:val="en-US" w:eastAsia="zh-CN"/>
              </w:rPr>
            </w:pPr>
            <w:r>
              <w:rPr>
                <w:rFonts w:hint="eastAsia" w:ascii="仿宋" w:hAnsi="仿宋" w:eastAsia="仿宋"/>
                <w:sz w:val="30"/>
                <w:szCs w:val="30"/>
                <w:lang w:val="en-US" w:eastAsia="zh-CN"/>
              </w:rPr>
              <w:t>康复项目部</w:t>
            </w:r>
          </w:p>
        </w:tc>
      </w:tr>
      <w:tr>
        <w:tc>
          <w:tcPr>
            <w:tcW w:w="2943" w:type="dxa"/>
            <w:noWrap w:val="0"/>
            <w:vAlign w:val="top"/>
          </w:tcPr>
          <w:p>
            <w:pPr>
              <w:rPr>
                <w:rFonts w:hint="eastAsia" w:ascii="仿宋" w:hAnsi="仿宋" w:eastAsia="仿宋"/>
                <w:sz w:val="30"/>
                <w:szCs w:val="30"/>
              </w:rPr>
            </w:pPr>
            <w:r>
              <w:rPr>
                <w:rFonts w:ascii="仿宋" w:hAnsi="仿宋" w:eastAsia="仿宋"/>
                <w:sz w:val="30"/>
                <w:szCs w:val="30"/>
              </w:rPr>
              <w:t>项目负责人</w:t>
            </w:r>
          </w:p>
        </w:tc>
        <w:tc>
          <w:tcPr>
            <w:tcW w:w="5579" w:type="dxa"/>
            <w:noWrap w:val="0"/>
            <w:vAlign w:val="top"/>
          </w:tcPr>
          <w:p>
            <w:pPr>
              <w:rPr>
                <w:rFonts w:hint="eastAsia" w:ascii="仿宋" w:hAnsi="仿宋" w:eastAsia="仿宋"/>
                <w:sz w:val="30"/>
                <w:szCs w:val="30"/>
                <w:lang w:val="en-US" w:eastAsia="zh-CN"/>
              </w:rPr>
            </w:pPr>
            <w:r>
              <w:rPr>
                <w:rFonts w:hint="eastAsia" w:ascii="仿宋" w:hAnsi="仿宋" w:eastAsia="仿宋"/>
                <w:sz w:val="30"/>
                <w:szCs w:val="30"/>
                <w:lang w:val="en-US" w:eastAsia="zh-CN"/>
              </w:rPr>
              <w:t>李珊珊</w:t>
            </w:r>
          </w:p>
        </w:tc>
      </w:tr>
    </w:tbl>
    <w:p>
      <w:pPr>
        <w:numPr>
          <w:ilvl w:val="0"/>
          <w:numId w:val="0"/>
        </w:numPr>
        <w:ind w:firstLine="602" w:firstLineChars="200"/>
        <w:rPr>
          <w:rFonts w:hint="eastAsia" w:ascii="仿宋" w:hAnsi="仿宋" w:eastAsia="仿宋" w:cs="仿宋"/>
          <w:b/>
          <w:bCs/>
          <w:sz w:val="30"/>
          <w:szCs w:val="30"/>
          <w:lang w:val="en-US" w:eastAsia="zh-CN"/>
        </w:rPr>
      </w:pPr>
    </w:p>
    <w:p>
      <w:pPr>
        <w:numPr>
          <w:ilvl w:val="0"/>
          <w:numId w:val="0"/>
        </w:num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一、项目背景与意义</w:t>
      </w:r>
    </w:p>
    <w:p>
      <w:pPr>
        <w:spacing w:line="24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我国现有盲人约2000万，眼病及视力损伤严重损害患者的身心健康与生活质量。同时，医疗资源分布不均、基层服务能力不足等问题依然突出，困难家庭眼病患者面临“看病负担重”的现实困境。2026年，国家13部门（含中国残联）联合印发《儿童青少年“五健”促进行动计划（2026—2030年）》，将视力健康促进行动列为核心任务，明确提出强化眼保健筛查、提升近视干预质量、降低近视发生率的目标。该政策的落地，既需要政府主导推动，也亟需社会公益组织与爱心力量的广泛参与。</w:t>
      </w:r>
    </w:p>
    <w:p>
      <w:pPr>
        <w:spacing w:line="24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本项目旨在为困难家庭眼病患者提供及时有效的治疗援助，切实减轻其经济负担，改善生活质量。同时，聚焦“近视防控进社区、进家庭”，通过公益补贴降低角膜塑形镜使用门槛，助力近视防控目标落地。</w:t>
      </w:r>
    </w:p>
    <w:p>
      <w:pPr>
        <w:numPr>
          <w:ilvl w:val="0"/>
          <w:numId w:val="0"/>
        </w:numPr>
        <w:ind w:firstLine="602" w:firstLineChars="200"/>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二、项目任务目标</w:t>
      </w:r>
    </w:p>
    <w:p>
      <w:pPr>
        <w:spacing w:line="24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围绕上述背景，本项目设定以下两大目标：</w:t>
      </w:r>
    </w:p>
    <w:p>
      <w:pPr>
        <w:spacing w:line="24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1. 眼病手术救助：面向全国困难家庭眼病患者提供医疗资助，帮助符合手术条件的患者及时接受手术治疗，提升复明手术覆盖率，减轻患者医疗负担，改善生活质量，努力实现“手术一人，幸福一家，带动一方”的公益愿景。</w:t>
      </w:r>
    </w:p>
    <w:p>
      <w:pPr>
        <w:spacing w:line="24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 近视防控干预：面向符合条件的儿童青少年屈光不正患者提供角膜塑形镜适配资助，落实国家“五健”行动计划要求，强化青少年眼保健筛查，提升近视干预质量，降低近视发生率，并增强全民近视防控意识与能力。</w:t>
      </w:r>
    </w:p>
    <w:p>
      <w:pPr>
        <w:numPr>
          <w:ilvl w:val="0"/>
          <w:numId w:val="0"/>
        </w:numPr>
        <w:ind w:firstLine="602" w:firstLineChars="200"/>
        <w:rPr>
          <w:rFonts w:hint="eastAsia"/>
        </w:rPr>
      </w:pPr>
      <w:r>
        <w:rPr>
          <w:rFonts w:hint="eastAsia" w:ascii="仿宋" w:hAnsi="仿宋" w:eastAsia="仿宋" w:cs="仿宋"/>
          <w:b/>
          <w:bCs/>
          <w:sz w:val="30"/>
          <w:szCs w:val="30"/>
          <w:lang w:val="en-US" w:eastAsia="zh-CN"/>
        </w:rPr>
        <w:t>三、</w:t>
      </w:r>
      <w:r>
        <w:rPr>
          <w:rFonts w:hint="eastAsia" w:ascii="仿宋" w:hAnsi="仿宋" w:eastAsia="仿宋" w:cs="仿宋"/>
          <w:b/>
          <w:bCs/>
          <w:sz w:val="30"/>
          <w:szCs w:val="30"/>
        </w:rPr>
        <w:t>项目内容及执行计划</w:t>
      </w:r>
    </w:p>
    <w:p>
      <w:pPr>
        <w:spacing w:line="620" w:lineRule="exact"/>
        <w:ind w:firstLine="600" w:firstLineChars="200"/>
        <w:rPr>
          <w:rFonts w:hint="eastAsia" w:ascii="仿宋" w:hAnsi="仿宋" w:eastAsia="仿宋" w:cs="仿宋"/>
          <w:color w:val="000000"/>
          <w:kern w:val="0"/>
          <w:sz w:val="30"/>
          <w:szCs w:val="30"/>
          <w:highlight w:val="none"/>
          <w:lang w:val="en-US" w:eastAsia="zh-CN"/>
        </w:rPr>
      </w:pP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lang w:val="en-US" w:eastAsia="zh-CN"/>
        </w:rPr>
        <w:t>一</w:t>
      </w:r>
      <w:r>
        <w:rPr>
          <w:rFonts w:hint="eastAsia" w:ascii="仿宋" w:hAnsi="仿宋" w:eastAsia="仿宋" w:cs="仿宋"/>
          <w:sz w:val="30"/>
          <w:szCs w:val="30"/>
          <w:highlight w:val="none"/>
          <w:lang w:eastAsia="zh-CN"/>
        </w:rPr>
        <w:t>）</w:t>
      </w:r>
      <w:r>
        <w:rPr>
          <w:rFonts w:hint="eastAsia" w:ascii="仿宋" w:hAnsi="仿宋" w:eastAsia="仿宋" w:cs="仿宋"/>
          <w:sz w:val="30"/>
          <w:szCs w:val="30"/>
          <w:highlight w:val="none"/>
        </w:rPr>
        <w:t>项目规模：</w:t>
      </w:r>
      <w:r>
        <w:rPr>
          <w:rFonts w:hint="eastAsia" w:ascii="仿宋" w:hAnsi="仿宋" w:eastAsia="仿宋" w:cs="仿宋"/>
          <w:sz w:val="30"/>
          <w:szCs w:val="30"/>
          <w:highlight w:val="none"/>
          <w:lang w:val="en-US" w:eastAsia="zh-CN"/>
        </w:rPr>
        <w:t>面向全国困难家庭</w:t>
      </w:r>
      <w:r>
        <w:rPr>
          <w:rFonts w:hint="eastAsia" w:ascii="仿宋" w:hAnsi="仿宋" w:eastAsia="仿宋" w:cs="仿宋"/>
          <w:sz w:val="30"/>
          <w:szCs w:val="30"/>
          <w:lang w:val="en-US" w:eastAsia="zh-CN"/>
        </w:rPr>
        <w:t>眼病</w:t>
      </w:r>
      <w:r>
        <w:rPr>
          <w:rFonts w:hint="eastAsia" w:ascii="仿宋" w:hAnsi="仿宋" w:eastAsia="仿宋" w:cs="仿宋"/>
          <w:sz w:val="30"/>
          <w:szCs w:val="30"/>
        </w:rPr>
        <w:t>患者。</w:t>
      </w:r>
    </w:p>
    <w:p>
      <w:pPr>
        <w:spacing w:line="240" w:lineRule="auto"/>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eastAsia="zh-CN"/>
        </w:rPr>
        <w:t>（二）执行方式：委托全国残疾人福利基金会，或依法登记注册、具有独立法人资格、业务范围包含</w:t>
      </w:r>
      <w:r>
        <w:rPr>
          <w:rFonts w:hint="eastAsia" w:ascii="仿宋" w:hAnsi="仿宋" w:eastAsia="仿宋" w:cs="仿宋"/>
          <w:sz w:val="30"/>
          <w:szCs w:val="30"/>
          <w:lang w:val="en-US" w:eastAsia="zh-CN"/>
        </w:rPr>
        <w:t>本项目资助内容范围的</w:t>
      </w:r>
      <w:r>
        <w:rPr>
          <w:rFonts w:hint="eastAsia" w:ascii="仿宋" w:hAnsi="仿宋" w:eastAsia="仿宋" w:cs="仿宋"/>
          <w:sz w:val="30"/>
          <w:szCs w:val="30"/>
          <w:lang w:eastAsia="zh-CN"/>
        </w:rPr>
        <w:t>医疗救助或慈善救助、具备健全的财务管理制度、有类似公益项目执行经验、无不良记录的社会组织实施。</w:t>
      </w:r>
    </w:p>
    <w:p>
      <w:pPr>
        <w:ind w:firstLine="600" w:firstLineChars="200"/>
        <w:rPr>
          <w:rFonts w:hint="eastAsia" w:ascii="仿宋" w:hAnsi="仿宋" w:eastAsia="仿宋" w:cs="仿宋"/>
          <w:sz w:val="30"/>
          <w:szCs w:val="30"/>
          <w:lang w:val="en-US" w:eastAsia="zh-CN"/>
        </w:rPr>
      </w:pP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三</w:t>
      </w:r>
      <w:r>
        <w:rPr>
          <w:rFonts w:hint="eastAsia" w:ascii="仿宋" w:hAnsi="仿宋" w:eastAsia="仿宋" w:cs="仿宋"/>
          <w:sz w:val="30"/>
          <w:szCs w:val="30"/>
          <w:lang w:eastAsia="zh-CN"/>
        </w:rPr>
        <w:t>）</w:t>
      </w:r>
      <w:r>
        <w:rPr>
          <w:rFonts w:hint="eastAsia" w:ascii="仿宋" w:hAnsi="仿宋" w:eastAsia="仿宋" w:cs="仿宋"/>
          <w:sz w:val="30"/>
          <w:szCs w:val="30"/>
        </w:rPr>
        <w:t>项目执行周期：</w:t>
      </w:r>
      <w:r>
        <w:rPr>
          <w:rFonts w:hint="eastAsia" w:ascii="仿宋" w:hAnsi="仿宋" w:eastAsia="仿宋" w:cs="仿宋"/>
          <w:sz w:val="30"/>
          <w:szCs w:val="30"/>
          <w:lang w:val="en-US" w:eastAsia="zh-CN"/>
        </w:rPr>
        <w:t>1年</w:t>
      </w:r>
    </w:p>
    <w:p>
      <w:pPr>
        <w:ind w:firstLine="600" w:firstLineChars="200"/>
        <w:rPr>
          <w:rFonts w:hint="eastAsia" w:ascii="仿宋" w:hAnsi="仿宋" w:eastAsia="仿宋" w:cs="仿宋"/>
          <w:sz w:val="30"/>
          <w:szCs w:val="30"/>
        </w:rPr>
      </w:pP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四</w:t>
      </w:r>
      <w:r>
        <w:rPr>
          <w:rFonts w:hint="eastAsia" w:ascii="仿宋" w:hAnsi="仿宋" w:eastAsia="仿宋" w:cs="仿宋"/>
          <w:sz w:val="30"/>
          <w:szCs w:val="30"/>
          <w:lang w:eastAsia="zh-CN"/>
        </w:rPr>
        <w:t>）</w:t>
      </w:r>
      <w:r>
        <w:rPr>
          <w:rFonts w:hint="eastAsia" w:ascii="仿宋" w:hAnsi="仿宋" w:eastAsia="仿宋" w:cs="仿宋"/>
          <w:sz w:val="30"/>
          <w:szCs w:val="30"/>
        </w:rPr>
        <w:t>项目实施进度安排</w:t>
      </w:r>
    </w:p>
    <w:p>
      <w:pPr>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2026年X月：完成项目申请与立项；</w:t>
      </w:r>
    </w:p>
    <w:p>
      <w:pPr>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2.</w:t>
      </w:r>
      <w:r>
        <w:rPr>
          <w:rFonts w:hint="eastAsia" w:ascii="仿宋" w:hAnsi="仿宋" w:eastAsia="仿宋" w:cs="仿宋"/>
          <w:sz w:val="30"/>
          <w:szCs w:val="30"/>
        </w:rPr>
        <w:t>适时举行：根据捐赠方意愿，组织开展项目启动仪式或捐赠仪式，邀请相关领导及捐赠单位代表入户探访</w:t>
      </w:r>
      <w:r>
        <w:rPr>
          <w:rFonts w:hint="eastAsia" w:ascii="仿宋" w:hAnsi="仿宋" w:eastAsia="仿宋" w:cs="仿宋"/>
          <w:sz w:val="30"/>
          <w:szCs w:val="30"/>
          <w:lang w:val="en-US" w:eastAsia="zh-CN"/>
        </w:rPr>
        <w:t>或组织座谈等</w:t>
      </w:r>
      <w:r>
        <w:rPr>
          <w:rFonts w:hint="eastAsia" w:ascii="仿宋" w:hAnsi="仿宋" w:eastAsia="仿宋" w:cs="仿宋"/>
          <w:sz w:val="30"/>
          <w:szCs w:val="30"/>
        </w:rPr>
        <w:t>；</w:t>
      </w:r>
    </w:p>
    <w:p>
      <w:pPr>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中期阶段：提交《项目阶段性报告》及《中期资金使用明细表》；</w:t>
      </w:r>
    </w:p>
    <w:p>
      <w:pPr>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2027年X月：项目结束，15日内提交项目</w:t>
      </w:r>
      <w:r>
        <w:rPr>
          <w:rFonts w:hint="eastAsia" w:ascii="仿宋" w:hAnsi="仿宋" w:eastAsia="仿宋" w:cs="仿宋"/>
          <w:sz w:val="30"/>
          <w:szCs w:val="30"/>
          <w:lang w:val="en-US" w:eastAsia="zh-CN"/>
        </w:rPr>
        <w:t>总结</w:t>
      </w:r>
      <w:r>
        <w:rPr>
          <w:rFonts w:hint="eastAsia" w:ascii="仿宋" w:hAnsi="仿宋" w:eastAsia="仿宋" w:cs="仿宋"/>
          <w:sz w:val="30"/>
          <w:szCs w:val="30"/>
        </w:rPr>
        <w:t>报告</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受益人</w:t>
      </w:r>
      <w:r>
        <w:rPr>
          <w:rFonts w:hint="eastAsia" w:ascii="仿宋" w:hAnsi="仿宋" w:eastAsia="仿宋" w:cs="仿宋"/>
          <w:sz w:val="30"/>
          <w:szCs w:val="30"/>
        </w:rPr>
        <w:t>名单、典型案例、媒体报道等资料。</w:t>
      </w:r>
    </w:p>
    <w:p>
      <w:pPr>
        <w:numPr>
          <w:ilvl w:val="0"/>
          <w:numId w:val="0"/>
        </w:numPr>
        <w:ind w:firstLine="600" w:firstLineChars="200"/>
        <w:rPr>
          <w:rFonts w:hint="eastAsia" w:ascii="仿宋" w:hAnsi="仿宋" w:eastAsia="仿宋" w:cs="仿宋"/>
          <w:sz w:val="30"/>
          <w:szCs w:val="30"/>
        </w:rPr>
      </w:pPr>
      <w:r>
        <w:rPr>
          <w:rFonts w:hint="eastAsia" w:ascii="仿宋" w:hAnsi="仿宋" w:eastAsia="仿宋" w:cs="仿宋"/>
          <w:sz w:val="30"/>
          <w:szCs w:val="30"/>
          <w:lang w:val="en-US" w:eastAsia="zh-CN"/>
        </w:rPr>
        <w:t>5.</w:t>
      </w:r>
      <w:r>
        <w:rPr>
          <w:rFonts w:hint="eastAsia" w:ascii="仿宋" w:hAnsi="仿宋" w:eastAsia="仿宋" w:cs="仿宋"/>
          <w:sz w:val="30"/>
          <w:szCs w:val="30"/>
        </w:rPr>
        <w:t>受益群体（含机构与个人）筛选、标准执行依据</w:t>
      </w:r>
    </w:p>
    <w:p>
      <w:pPr>
        <w:numPr>
          <w:ilvl w:val="0"/>
          <w:numId w:val="0"/>
        </w:numPr>
        <w:ind w:firstLine="600" w:firstLineChars="200"/>
        <w:rPr>
          <w:rFonts w:hint="eastAsia" w:ascii="仿宋" w:hAnsi="仿宋" w:eastAsia="仿宋" w:cs="仿宋"/>
          <w:bCs/>
          <w:sz w:val="30"/>
          <w:szCs w:val="30"/>
          <w:lang w:val="en-US" w:eastAsia="zh-CN"/>
        </w:rPr>
      </w:pPr>
      <w:r>
        <w:rPr>
          <w:rFonts w:hint="eastAsia" w:ascii="仿宋" w:hAnsi="仿宋" w:eastAsia="仿宋" w:cs="仿宋"/>
          <w:bCs/>
          <w:sz w:val="30"/>
          <w:szCs w:val="30"/>
          <w:lang w:val="en-US" w:eastAsia="zh-CN"/>
        </w:rPr>
        <w:t>（1）受助个人筛选：由项目执行单位或项目执行医院/实施机构筛选符合手术适应症的眼病患者，并备齐相关申请材料，填写受助人申请表，提交项目申报。经审核后，符合条件的纳入资助范围。</w:t>
      </w:r>
    </w:p>
    <w:p>
      <w:pPr>
        <w:numPr>
          <w:ilvl w:val="0"/>
          <w:numId w:val="0"/>
        </w:numPr>
        <w:ind w:firstLine="600" w:firstLineChars="200"/>
        <w:rPr>
          <w:rFonts w:hint="eastAsia" w:ascii="仿宋" w:hAnsi="仿宋" w:eastAsia="仿宋"/>
          <w:sz w:val="30"/>
          <w:szCs w:val="30"/>
          <w:lang w:val="en-US" w:eastAsia="zh-CN"/>
        </w:rPr>
      </w:pPr>
      <w:r>
        <w:rPr>
          <w:rFonts w:hint="eastAsia" w:ascii="仿宋" w:hAnsi="仿宋" w:eastAsia="仿宋" w:cs="仿宋"/>
          <w:bCs/>
          <w:sz w:val="30"/>
          <w:szCs w:val="30"/>
          <w:lang w:val="en-US" w:eastAsia="zh-CN"/>
        </w:rPr>
        <w:t>（2）项目执行医院/机构：由项目执行单位遴选项目执行医院。项目执行医院的选择将综合考虑其资质，医疗条件、专业能力、筛查能力、手术经验、质量把控、服务水平、费用控制及公益项目执行经验等因素，择优确定，并将遴选结果报中国残疾人福利基金会。</w:t>
      </w:r>
    </w:p>
    <w:p>
      <w:pPr>
        <w:ind w:firstLine="602" w:firstLineChars="200"/>
        <w:rPr>
          <w:rFonts w:hint="eastAsia" w:ascii="仿宋" w:hAnsi="仿宋" w:eastAsia="仿宋" w:cs="仿宋"/>
          <w:b/>
          <w:bCs/>
          <w:sz w:val="30"/>
          <w:szCs w:val="30"/>
          <w:lang w:eastAsia="zh-CN"/>
        </w:rPr>
      </w:pPr>
      <w:r>
        <w:rPr>
          <w:rFonts w:hint="eastAsia" w:ascii="仿宋" w:hAnsi="仿宋" w:eastAsia="仿宋" w:cs="仿宋"/>
          <w:b/>
          <w:bCs/>
          <w:sz w:val="30"/>
          <w:szCs w:val="30"/>
        </w:rPr>
        <w:t>四、项目预算</w:t>
      </w:r>
      <w:r>
        <w:rPr>
          <w:rFonts w:hint="eastAsia" w:ascii="仿宋" w:hAnsi="仿宋" w:eastAsia="仿宋" w:cs="仿宋"/>
          <w:b/>
          <w:bCs/>
          <w:sz w:val="30"/>
          <w:szCs w:val="30"/>
          <w:lang w:eastAsia="zh-CN"/>
        </w:rPr>
        <w:t>（</w:t>
      </w:r>
      <w:r>
        <w:rPr>
          <w:rFonts w:hint="eastAsia" w:ascii="仿宋" w:hAnsi="仿宋" w:eastAsia="仿宋" w:cs="仿宋"/>
          <w:b/>
          <w:bCs/>
          <w:sz w:val="30"/>
          <w:szCs w:val="30"/>
          <w:lang w:val="en-US" w:eastAsia="zh-CN"/>
        </w:rPr>
        <w:t>以各省申报情况为准</w:t>
      </w:r>
      <w:r>
        <w:rPr>
          <w:rFonts w:hint="eastAsia" w:ascii="仿宋" w:hAnsi="仿宋" w:eastAsia="仿宋" w:cs="仿宋"/>
          <w:b/>
          <w:bCs/>
          <w:sz w:val="30"/>
          <w:szCs w:val="30"/>
          <w:lang w:eastAsia="zh-CN"/>
        </w:rPr>
        <w:t>）</w:t>
      </w:r>
    </w:p>
    <w:p>
      <w:pPr>
        <w:ind w:firstLine="640" w:firstLineChars="200"/>
        <w:rPr>
          <w:rFonts w:hint="eastAsia" w:ascii="方正仿宋" w:hAnsi="仿宋" w:eastAsia="方正仿宋" w:cs="仿宋"/>
          <w:b w:val="0"/>
          <w:bCs w:val="0"/>
          <w:sz w:val="32"/>
          <w:szCs w:val="32"/>
          <w:lang w:val="en-US" w:eastAsia="zh-CN"/>
        </w:rPr>
      </w:pPr>
      <w:r>
        <w:rPr>
          <w:rFonts w:hint="eastAsia" w:ascii="方正仿宋" w:hAnsi="仿宋" w:eastAsia="方正仿宋" w:cs="仿宋"/>
          <w:b w:val="0"/>
          <w:bCs w:val="0"/>
          <w:sz w:val="32"/>
          <w:szCs w:val="32"/>
          <w:lang w:val="en-US" w:eastAsia="zh-CN"/>
        </w:rPr>
        <w:t>成人眼病资助标准为每例1000元，儿童眼病资助标准为平均每例5000元，儿童青少年屈光不正（角膜塑形镜）资助标准为每副市场价的50%，每例资助上限为5000元。</w:t>
      </w:r>
    </w:p>
    <w:tbl>
      <w:tblPr>
        <w:tblStyle w:val="5"/>
        <w:tblpPr w:leftFromText="180" w:rightFromText="180" w:vertAnchor="text" w:horzAnchor="page" w:tblpX="1142" w:tblpY="618"/>
        <w:tblOverlap w:val="never"/>
        <w:tblW w:w="97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31"/>
        <w:gridCol w:w="2025"/>
        <w:gridCol w:w="2532"/>
        <w:gridCol w:w="2754"/>
        <w:gridCol w:w="1133"/>
      </w:tblGrid>
      <w:tr>
        <w:trPr>
          <w:trHeight w:val="905" w:hRule="atLeast"/>
        </w:trPr>
        <w:tc>
          <w:tcPr>
            <w:tcW w:w="1331" w:type="dxa"/>
            <w:vMerge w:val="restart"/>
            <w:noWrap w:val="0"/>
            <w:vAlign w:val="center"/>
          </w:tcPr>
          <w:p>
            <w:pPr>
              <w:pStyle w:val="9"/>
              <w:widowControl/>
              <w:autoSpaceDE w:val="0"/>
              <w:autoSpaceDN w:val="0"/>
              <w:adjustRightInd w:val="0"/>
              <w:snapToGrid w:val="0"/>
              <w:ind w:firstLine="0" w:firstLineChars="0"/>
              <w:jc w:val="center"/>
              <w:textAlignment w:val="baseline"/>
              <w:rPr>
                <w:rFonts w:hint="eastAsia" w:ascii="仿宋" w:hAnsi="仿宋" w:eastAsia="仿宋" w:cs="仿宋"/>
                <w:b/>
                <w:bCs/>
                <w:sz w:val="24"/>
                <w:szCs w:val="24"/>
                <w:highlight w:val="none"/>
              </w:rPr>
            </w:pPr>
            <w:r>
              <w:rPr>
                <w:rFonts w:hint="eastAsia" w:ascii="仿宋" w:hAnsi="仿宋" w:eastAsia="仿宋" w:cs="仿宋"/>
                <w:b/>
                <w:bCs/>
                <w:spacing w:val="-2"/>
                <w:sz w:val="24"/>
                <w:szCs w:val="24"/>
                <w:highlight w:val="none"/>
              </w:rPr>
              <w:t>募得款物使用计</w:t>
            </w:r>
            <w:r>
              <w:rPr>
                <w:rFonts w:hint="eastAsia" w:ascii="仿宋" w:hAnsi="仿宋" w:eastAsia="仿宋" w:cs="仿宋"/>
                <w:b/>
                <w:bCs/>
                <w:sz w:val="24"/>
                <w:szCs w:val="24"/>
                <w:highlight w:val="none"/>
              </w:rPr>
              <w:t>划</w:t>
            </w:r>
          </w:p>
        </w:tc>
        <w:tc>
          <w:tcPr>
            <w:tcW w:w="2025" w:type="dxa"/>
            <w:noWrap w:val="0"/>
            <w:vAlign w:val="center"/>
          </w:tcPr>
          <w:p>
            <w:pPr>
              <w:pStyle w:val="9"/>
              <w:widowControl/>
              <w:autoSpaceDE w:val="0"/>
              <w:autoSpaceDN w:val="0"/>
              <w:adjustRightInd w:val="0"/>
              <w:snapToGrid w:val="0"/>
              <w:ind w:firstLine="0" w:firstLineChars="0"/>
              <w:jc w:val="center"/>
              <w:textAlignment w:val="baseline"/>
              <w:rPr>
                <w:rFonts w:hint="eastAsia" w:ascii="仿宋" w:hAnsi="仿宋" w:eastAsia="仿宋" w:cs="仿宋"/>
                <w:b/>
                <w:bCs/>
                <w:spacing w:val="-2"/>
                <w:sz w:val="24"/>
                <w:szCs w:val="24"/>
                <w:highlight w:val="none"/>
                <w:lang w:eastAsia="zh-CN"/>
              </w:rPr>
            </w:pPr>
            <w:r>
              <w:rPr>
                <w:rFonts w:hint="eastAsia" w:ascii="仿宋" w:hAnsi="仿宋" w:eastAsia="仿宋" w:cs="仿宋"/>
                <w:b/>
                <w:bCs/>
                <w:spacing w:val="-2"/>
                <w:sz w:val="24"/>
                <w:szCs w:val="24"/>
                <w:highlight w:val="none"/>
                <w:lang w:eastAsia="zh-CN"/>
              </w:rPr>
              <w:t>用途分类</w:t>
            </w:r>
          </w:p>
        </w:tc>
        <w:tc>
          <w:tcPr>
            <w:tcW w:w="2532" w:type="dxa"/>
            <w:noWrap w:val="0"/>
            <w:vAlign w:val="center"/>
          </w:tcPr>
          <w:p>
            <w:pPr>
              <w:pStyle w:val="9"/>
              <w:widowControl/>
              <w:autoSpaceDE w:val="0"/>
              <w:autoSpaceDN w:val="0"/>
              <w:adjustRightInd w:val="0"/>
              <w:snapToGrid w:val="0"/>
              <w:ind w:firstLine="723" w:firstLineChars="300"/>
              <w:jc w:val="both"/>
              <w:textAlignment w:val="baseline"/>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具体用途</w:t>
            </w:r>
          </w:p>
        </w:tc>
        <w:tc>
          <w:tcPr>
            <w:tcW w:w="2754" w:type="dxa"/>
            <w:noWrap w:val="0"/>
            <w:vAlign w:val="center"/>
          </w:tcPr>
          <w:p>
            <w:pPr>
              <w:pStyle w:val="9"/>
              <w:widowControl/>
              <w:autoSpaceDE w:val="0"/>
              <w:autoSpaceDN w:val="0"/>
              <w:adjustRightInd w:val="0"/>
              <w:snapToGrid w:val="0"/>
              <w:ind w:firstLine="1205" w:firstLineChars="500"/>
              <w:jc w:val="both"/>
              <w:textAlignment w:val="baseline"/>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金额</w:t>
            </w:r>
          </w:p>
        </w:tc>
        <w:tc>
          <w:tcPr>
            <w:tcW w:w="1133" w:type="dxa"/>
            <w:noWrap w:val="0"/>
            <w:vAlign w:val="top"/>
          </w:tcPr>
          <w:p>
            <w:pPr>
              <w:pStyle w:val="9"/>
              <w:widowControl/>
              <w:autoSpaceDE w:val="0"/>
              <w:autoSpaceDN w:val="0"/>
              <w:adjustRightInd w:val="0"/>
              <w:snapToGrid w:val="0"/>
              <w:ind w:firstLine="480"/>
              <w:jc w:val="center"/>
              <w:textAlignment w:val="baseline"/>
              <w:rPr>
                <w:rFonts w:hint="eastAsia" w:ascii="仿宋" w:hAnsi="仿宋" w:eastAsia="仿宋" w:cs="仿宋"/>
                <w:b/>
                <w:bCs/>
                <w:sz w:val="24"/>
                <w:szCs w:val="24"/>
                <w:highlight w:val="none"/>
                <w:lang w:eastAsia="zh-CN"/>
              </w:rPr>
            </w:pPr>
          </w:p>
          <w:p>
            <w:pPr>
              <w:pStyle w:val="9"/>
              <w:widowControl/>
              <w:autoSpaceDE w:val="0"/>
              <w:autoSpaceDN w:val="0"/>
              <w:adjustRightInd w:val="0"/>
              <w:snapToGrid w:val="0"/>
              <w:ind w:left="0" w:leftChars="0" w:firstLine="0" w:firstLineChars="0"/>
              <w:jc w:val="center"/>
              <w:textAlignment w:val="baseline"/>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占比</w:t>
            </w:r>
          </w:p>
        </w:tc>
      </w:tr>
      <w:tr>
        <w:trPr>
          <w:trHeight w:val="90" w:hRule="atLeast"/>
        </w:trPr>
        <w:tc>
          <w:tcPr>
            <w:tcW w:w="1331" w:type="dxa"/>
            <w:vMerge w:val="continue"/>
            <w:noWrap w:val="0"/>
            <w:vAlign w:val="center"/>
          </w:tcPr>
          <w:p>
            <w:pPr>
              <w:widowControl/>
              <w:autoSpaceDE w:val="0"/>
              <w:autoSpaceDN w:val="0"/>
              <w:adjustRightInd w:val="0"/>
              <w:snapToGrid w:val="0"/>
              <w:ind w:firstLine="480" w:firstLineChars="200"/>
              <w:jc w:val="center"/>
              <w:textAlignment w:val="baseline"/>
              <w:rPr>
                <w:rFonts w:hint="eastAsia" w:ascii="仿宋" w:hAnsi="仿宋" w:eastAsia="仿宋" w:cs="仿宋"/>
                <w:sz w:val="24"/>
                <w:szCs w:val="24"/>
                <w:highlight w:val="none"/>
              </w:rPr>
            </w:pPr>
          </w:p>
        </w:tc>
        <w:tc>
          <w:tcPr>
            <w:tcW w:w="2025" w:type="dxa"/>
            <w:noWrap w:val="0"/>
            <w:vAlign w:val="center"/>
          </w:tcPr>
          <w:p>
            <w:pPr>
              <w:pStyle w:val="9"/>
              <w:widowControl/>
              <w:autoSpaceDE w:val="0"/>
              <w:autoSpaceDN w:val="0"/>
              <w:adjustRightInd w:val="0"/>
              <w:snapToGrid w:val="0"/>
              <w:ind w:firstLine="0" w:firstLineChars="0"/>
              <w:jc w:val="left"/>
              <w:textAlignment w:val="baseline"/>
              <w:rPr>
                <w:rFonts w:hint="eastAsia" w:ascii="仿宋" w:hAnsi="仿宋" w:eastAsia="仿宋" w:cs="仿宋"/>
                <w:sz w:val="24"/>
                <w:szCs w:val="24"/>
                <w:highlight w:val="none"/>
                <w:lang w:eastAsia="zh-CN"/>
              </w:rPr>
            </w:pPr>
            <w:r>
              <w:rPr>
                <w:rFonts w:hint="eastAsia" w:ascii="仿宋" w:hAnsi="仿宋" w:eastAsia="仿宋" w:cs="仿宋"/>
                <w:spacing w:val="-2"/>
                <w:sz w:val="24"/>
                <w:szCs w:val="24"/>
                <w:highlight w:val="none"/>
                <w:lang w:val="en-US" w:eastAsia="zh-CN"/>
              </w:rPr>
              <w:t>1</w:t>
            </w:r>
            <w:r>
              <w:rPr>
                <w:rFonts w:hint="eastAsia" w:ascii="仿宋" w:hAnsi="仿宋" w:eastAsia="仿宋" w:cs="仿宋"/>
                <w:spacing w:val="-2"/>
                <w:sz w:val="24"/>
                <w:szCs w:val="24"/>
                <w:highlight w:val="none"/>
                <w:lang w:eastAsia="zh-CN"/>
              </w:rPr>
              <w:t>.为</w:t>
            </w:r>
            <w:r>
              <w:rPr>
                <w:rFonts w:hint="eastAsia" w:ascii="仿宋" w:hAnsi="仿宋" w:eastAsia="仿宋" w:cs="仿宋"/>
                <w:spacing w:val="-2"/>
                <w:sz w:val="24"/>
                <w:szCs w:val="24"/>
                <w:highlight w:val="none"/>
                <w:lang w:val="en-US" w:eastAsia="zh-CN"/>
              </w:rPr>
              <w:t>项目</w:t>
            </w:r>
            <w:r>
              <w:rPr>
                <w:rFonts w:hint="eastAsia" w:ascii="仿宋" w:hAnsi="仿宋" w:eastAsia="仿宋" w:cs="仿宋"/>
                <w:spacing w:val="-2"/>
                <w:sz w:val="24"/>
                <w:szCs w:val="24"/>
                <w:highlight w:val="none"/>
                <w:lang w:eastAsia="zh-CN"/>
              </w:rPr>
              <w:t>提供慈善服务及相关费用</w:t>
            </w:r>
          </w:p>
        </w:tc>
        <w:tc>
          <w:tcPr>
            <w:tcW w:w="2532" w:type="dxa"/>
            <w:noWrap w:val="0"/>
            <w:vAlign w:val="center"/>
          </w:tcPr>
          <w:p>
            <w:pPr>
              <w:pStyle w:val="9"/>
              <w:widowControl/>
              <w:autoSpaceDE w:val="0"/>
              <w:autoSpaceDN w:val="0"/>
              <w:adjustRightInd w:val="0"/>
              <w:snapToGrid w:val="0"/>
              <w:ind w:left="0" w:leftChars="0" w:firstLine="0" w:firstLineChars="0"/>
              <w:textAlignment w:val="baseline"/>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为眼病患者的治疗提供资助，直接补贴给项目执行医院/机构或项目受助人，患者不承担手术费用，不足部分由项目执行医院/机构承担。</w:t>
            </w:r>
          </w:p>
        </w:tc>
        <w:tc>
          <w:tcPr>
            <w:tcW w:w="2754" w:type="dxa"/>
            <w:noWrap w:val="0"/>
            <w:vAlign w:val="center"/>
          </w:tcPr>
          <w:p>
            <w:pPr>
              <w:pStyle w:val="9"/>
              <w:widowControl/>
              <w:autoSpaceDE w:val="0"/>
              <w:autoSpaceDN w:val="0"/>
              <w:adjustRightInd w:val="0"/>
              <w:snapToGrid w:val="0"/>
              <w:ind w:left="0" w:leftChars="0" w:firstLine="0" w:firstLineChars="0"/>
              <w:textAlignment w:val="baseline"/>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（1）资助</w:t>
            </w:r>
            <w:r>
              <w:rPr>
                <w:rFonts w:hint="eastAsia" w:ascii="仿宋" w:hAnsi="仿宋" w:eastAsia="仿宋" w:cs="仿宋"/>
                <w:sz w:val="24"/>
                <w:szCs w:val="24"/>
                <w:highlight w:val="none"/>
              </w:rPr>
              <w:t>成人眼病</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平均每例1000元</w:t>
            </w:r>
            <w:r>
              <w:rPr>
                <w:rFonts w:hint="eastAsia" w:ascii="仿宋" w:hAnsi="仿宋" w:eastAsia="仿宋" w:cs="仿宋"/>
                <w:sz w:val="24"/>
                <w:szCs w:val="24"/>
                <w:highlight w:val="none"/>
                <w:lang w:eastAsia="zh-CN"/>
              </w:rPr>
              <w:t>。</w:t>
            </w:r>
          </w:p>
          <w:p>
            <w:pPr>
              <w:pStyle w:val="9"/>
              <w:widowControl/>
              <w:autoSpaceDE w:val="0"/>
              <w:autoSpaceDN w:val="0"/>
              <w:adjustRightInd w:val="0"/>
              <w:snapToGrid w:val="0"/>
              <w:ind w:left="0" w:leftChars="0" w:firstLine="0" w:firstLineChars="0"/>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2）资助</w:t>
            </w:r>
            <w:r>
              <w:rPr>
                <w:rFonts w:hint="eastAsia" w:ascii="仿宋" w:hAnsi="仿宋" w:eastAsia="仿宋" w:cs="仿宋"/>
                <w:sz w:val="24"/>
                <w:szCs w:val="24"/>
                <w:highlight w:val="none"/>
              </w:rPr>
              <w:t>儿童眼病</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平均每例5000元</w:t>
            </w:r>
          </w:p>
          <w:p>
            <w:pPr>
              <w:pStyle w:val="9"/>
              <w:widowControl/>
              <w:autoSpaceDE w:val="0"/>
              <w:autoSpaceDN w:val="0"/>
              <w:adjustRightInd w:val="0"/>
              <w:snapToGrid w:val="0"/>
              <w:ind w:left="0" w:leftChars="0" w:firstLine="0" w:firstLineChars="0"/>
              <w:textAlignment w:val="baseline"/>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（3）资助儿童青少年屈光不正（角膜塑形镜）标准为每副市场价的50%，每例资助上限为5000元</w:t>
            </w:r>
          </w:p>
        </w:tc>
        <w:tc>
          <w:tcPr>
            <w:tcW w:w="1133" w:type="dxa"/>
            <w:noWrap w:val="0"/>
            <w:vAlign w:val="center"/>
          </w:tcPr>
          <w:p>
            <w:pPr>
              <w:pStyle w:val="9"/>
              <w:widowControl/>
              <w:autoSpaceDE w:val="0"/>
              <w:autoSpaceDN w:val="0"/>
              <w:adjustRightInd w:val="0"/>
              <w:snapToGrid w:val="0"/>
              <w:ind w:left="0" w:leftChars="0" w:firstLine="0" w:firstLineChars="0"/>
              <w:jc w:val="both"/>
              <w:textAlignment w:val="baseline"/>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不低于90%</w:t>
            </w:r>
          </w:p>
        </w:tc>
      </w:tr>
      <w:tr>
        <w:trPr>
          <w:trHeight w:val="737" w:hRule="atLeast"/>
        </w:trPr>
        <w:tc>
          <w:tcPr>
            <w:tcW w:w="1331" w:type="dxa"/>
            <w:vMerge w:val="continue"/>
            <w:tcBorders>
              <w:bottom w:val="nil"/>
            </w:tcBorders>
            <w:noWrap w:val="0"/>
            <w:vAlign w:val="center"/>
          </w:tcPr>
          <w:p>
            <w:pPr>
              <w:widowControl/>
              <w:autoSpaceDE w:val="0"/>
              <w:autoSpaceDN w:val="0"/>
              <w:adjustRightInd w:val="0"/>
              <w:snapToGrid w:val="0"/>
              <w:ind w:firstLine="480" w:firstLineChars="200"/>
              <w:jc w:val="center"/>
              <w:textAlignment w:val="baseline"/>
              <w:rPr>
                <w:rFonts w:hint="eastAsia" w:ascii="仿宋" w:hAnsi="仿宋" w:eastAsia="仿宋" w:cs="仿宋"/>
                <w:sz w:val="24"/>
                <w:szCs w:val="24"/>
                <w:highlight w:val="none"/>
              </w:rPr>
            </w:pPr>
          </w:p>
        </w:tc>
        <w:tc>
          <w:tcPr>
            <w:tcW w:w="2025" w:type="dxa"/>
            <w:noWrap w:val="0"/>
            <w:vAlign w:val="center"/>
          </w:tcPr>
          <w:p>
            <w:pPr>
              <w:pStyle w:val="9"/>
              <w:widowControl/>
              <w:autoSpaceDE w:val="0"/>
              <w:autoSpaceDN w:val="0"/>
              <w:adjustRightInd w:val="0"/>
              <w:snapToGrid w:val="0"/>
              <w:ind w:firstLine="0" w:firstLineChars="0"/>
              <w:jc w:val="left"/>
              <w:textAlignment w:val="baseline"/>
              <w:rPr>
                <w:rFonts w:hint="eastAsia" w:ascii="仿宋" w:hAnsi="仿宋" w:eastAsia="仿宋" w:cs="仿宋"/>
                <w:sz w:val="24"/>
                <w:szCs w:val="24"/>
                <w:highlight w:val="none"/>
              </w:rPr>
            </w:pPr>
            <w:r>
              <w:rPr>
                <w:rFonts w:hint="eastAsia" w:ascii="仿宋" w:hAnsi="仿宋" w:eastAsia="仿宋" w:cs="仿宋"/>
                <w:spacing w:val="-3"/>
                <w:sz w:val="24"/>
                <w:szCs w:val="24"/>
                <w:highlight w:val="none"/>
                <w:lang w:val="en-US" w:eastAsia="zh-CN"/>
              </w:rPr>
              <w:t>2</w:t>
            </w:r>
            <w:r>
              <w:rPr>
                <w:rFonts w:hint="eastAsia" w:ascii="仿宋" w:hAnsi="仿宋" w:eastAsia="仿宋" w:cs="仿宋"/>
                <w:spacing w:val="-3"/>
                <w:sz w:val="24"/>
                <w:szCs w:val="24"/>
                <w:highlight w:val="none"/>
                <w:lang w:eastAsia="zh-CN"/>
              </w:rPr>
              <w:t>.</w:t>
            </w:r>
            <w:r>
              <w:rPr>
                <w:rFonts w:hint="eastAsia" w:ascii="仿宋" w:hAnsi="仿宋" w:eastAsia="仿宋" w:cs="仿宋"/>
                <w:spacing w:val="-3"/>
                <w:sz w:val="24"/>
                <w:szCs w:val="24"/>
                <w:highlight w:val="none"/>
              </w:rPr>
              <w:t>管理费用</w:t>
            </w:r>
          </w:p>
        </w:tc>
        <w:tc>
          <w:tcPr>
            <w:tcW w:w="2532" w:type="dxa"/>
            <w:noWrap w:val="0"/>
            <w:vAlign w:val="center"/>
          </w:tcPr>
          <w:p>
            <w:pPr>
              <w:pStyle w:val="9"/>
              <w:widowControl/>
              <w:autoSpaceDE w:val="0"/>
              <w:autoSpaceDN w:val="0"/>
              <w:adjustRightInd w:val="0"/>
              <w:snapToGrid w:val="0"/>
              <w:ind w:left="0" w:leftChars="0" w:firstLine="0" w:firstLineChars="0"/>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支付项目执行单位</w:t>
            </w:r>
            <w:r>
              <w:rPr>
                <w:rFonts w:hint="eastAsia" w:ascii="仿宋" w:hAnsi="仿宋" w:eastAsia="仿宋" w:cs="仿宋"/>
                <w:sz w:val="24"/>
                <w:szCs w:val="24"/>
                <w:highlight w:val="none"/>
              </w:rPr>
              <w:t>行政管理人员工资、</w:t>
            </w:r>
            <w:r>
              <w:rPr>
                <w:rFonts w:hint="eastAsia" w:ascii="仿宋" w:hAnsi="仿宋" w:eastAsia="仿宋" w:cs="仿宋"/>
                <w:sz w:val="24"/>
                <w:szCs w:val="24"/>
                <w:highlight w:val="none"/>
                <w:lang w:val="en-US" w:eastAsia="zh-CN"/>
              </w:rPr>
              <w:t>办公经费</w:t>
            </w:r>
            <w:r>
              <w:rPr>
                <w:rFonts w:hint="eastAsia" w:ascii="仿宋" w:hAnsi="仿宋" w:eastAsia="仿宋" w:cs="仿宋"/>
                <w:sz w:val="24"/>
                <w:szCs w:val="24"/>
                <w:highlight w:val="none"/>
              </w:rPr>
              <w:t>等支出</w:t>
            </w:r>
          </w:p>
        </w:tc>
        <w:tc>
          <w:tcPr>
            <w:tcW w:w="2754" w:type="dxa"/>
            <w:noWrap w:val="0"/>
            <w:vAlign w:val="center"/>
          </w:tcPr>
          <w:p>
            <w:pPr>
              <w:pStyle w:val="9"/>
              <w:widowControl/>
              <w:autoSpaceDE w:val="0"/>
              <w:autoSpaceDN w:val="0"/>
              <w:adjustRightInd w:val="0"/>
              <w:snapToGrid w:val="0"/>
              <w:ind w:firstLine="960" w:firstLineChars="400"/>
              <w:textAlignment w:val="baseline"/>
              <w:rPr>
                <w:rFonts w:hint="eastAsia" w:ascii="仿宋" w:hAnsi="仿宋" w:eastAsia="仿宋" w:cs="仿宋"/>
                <w:sz w:val="24"/>
                <w:szCs w:val="24"/>
                <w:highlight w:val="none"/>
                <w:lang w:eastAsia="zh-CN"/>
              </w:rPr>
            </w:pPr>
          </w:p>
        </w:tc>
        <w:tc>
          <w:tcPr>
            <w:tcW w:w="1133" w:type="dxa"/>
            <w:noWrap w:val="0"/>
            <w:vAlign w:val="center"/>
          </w:tcPr>
          <w:p>
            <w:pPr>
              <w:pStyle w:val="9"/>
              <w:widowControl/>
              <w:autoSpaceDE w:val="0"/>
              <w:autoSpaceDN w:val="0"/>
              <w:adjustRightInd w:val="0"/>
              <w:snapToGrid w:val="0"/>
              <w:ind w:left="0" w:leftChars="0" w:firstLine="0" w:firstLineChars="0"/>
              <w:jc w:val="center"/>
              <w:textAlignment w:val="baseline"/>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不高于10%</w:t>
            </w:r>
          </w:p>
        </w:tc>
      </w:tr>
      <w:tr>
        <w:trPr>
          <w:trHeight w:val="737" w:hRule="atLeast"/>
        </w:trPr>
        <w:tc>
          <w:tcPr>
            <w:tcW w:w="1331" w:type="dxa"/>
            <w:tcBorders>
              <w:top w:val="nil"/>
            </w:tcBorders>
            <w:noWrap w:val="0"/>
            <w:vAlign w:val="center"/>
          </w:tcPr>
          <w:p>
            <w:pPr>
              <w:widowControl/>
              <w:autoSpaceDE w:val="0"/>
              <w:autoSpaceDN w:val="0"/>
              <w:adjustRightInd w:val="0"/>
              <w:snapToGrid w:val="0"/>
              <w:ind w:firstLine="482" w:firstLineChars="200"/>
              <w:jc w:val="center"/>
              <w:textAlignment w:val="baseline"/>
              <w:rPr>
                <w:rFonts w:hint="eastAsia" w:ascii="仿宋" w:hAnsi="仿宋" w:eastAsia="仿宋" w:cs="仿宋"/>
                <w:b/>
                <w:bCs/>
                <w:sz w:val="24"/>
                <w:szCs w:val="24"/>
                <w:highlight w:val="none"/>
              </w:rPr>
            </w:pPr>
          </w:p>
        </w:tc>
        <w:tc>
          <w:tcPr>
            <w:tcW w:w="2025" w:type="dxa"/>
            <w:noWrap w:val="0"/>
            <w:vAlign w:val="center"/>
          </w:tcPr>
          <w:p>
            <w:pPr>
              <w:pStyle w:val="9"/>
              <w:widowControl/>
              <w:autoSpaceDE w:val="0"/>
              <w:autoSpaceDN w:val="0"/>
              <w:adjustRightInd w:val="0"/>
              <w:snapToGrid w:val="0"/>
              <w:ind w:firstLine="0" w:firstLineChars="0"/>
              <w:jc w:val="center"/>
              <w:textAlignment w:val="baseline"/>
              <w:rPr>
                <w:rFonts w:hint="eastAsia" w:ascii="仿宋" w:hAnsi="仿宋" w:eastAsia="仿宋" w:cs="仿宋"/>
                <w:b/>
                <w:bCs/>
                <w:spacing w:val="-3"/>
                <w:sz w:val="24"/>
                <w:szCs w:val="24"/>
                <w:highlight w:val="none"/>
                <w:lang w:eastAsia="zh-CN"/>
              </w:rPr>
            </w:pPr>
            <w:r>
              <w:rPr>
                <w:rFonts w:hint="eastAsia" w:ascii="仿宋" w:hAnsi="仿宋" w:eastAsia="仿宋" w:cs="仿宋"/>
                <w:b/>
                <w:bCs/>
                <w:spacing w:val="-3"/>
                <w:sz w:val="24"/>
                <w:szCs w:val="24"/>
                <w:highlight w:val="none"/>
                <w:lang w:eastAsia="zh-CN"/>
              </w:rPr>
              <w:t>合计（1+2）</w:t>
            </w:r>
          </w:p>
        </w:tc>
        <w:tc>
          <w:tcPr>
            <w:tcW w:w="2532" w:type="dxa"/>
            <w:noWrap w:val="0"/>
            <w:vAlign w:val="center"/>
          </w:tcPr>
          <w:p>
            <w:pPr>
              <w:pStyle w:val="9"/>
              <w:widowControl/>
              <w:autoSpaceDE w:val="0"/>
              <w:autoSpaceDN w:val="0"/>
              <w:adjustRightInd w:val="0"/>
              <w:snapToGrid w:val="0"/>
              <w:ind w:firstLine="480"/>
              <w:jc w:val="center"/>
              <w:textAlignment w:val="baseline"/>
              <w:rPr>
                <w:rFonts w:hint="eastAsia" w:ascii="仿宋" w:hAnsi="仿宋" w:eastAsia="仿宋" w:cs="仿宋"/>
                <w:b/>
                <w:bCs/>
                <w:sz w:val="24"/>
                <w:szCs w:val="24"/>
                <w:highlight w:val="none"/>
              </w:rPr>
            </w:pPr>
          </w:p>
        </w:tc>
        <w:tc>
          <w:tcPr>
            <w:tcW w:w="2754" w:type="dxa"/>
            <w:noWrap w:val="0"/>
            <w:vAlign w:val="center"/>
          </w:tcPr>
          <w:p>
            <w:pPr>
              <w:pStyle w:val="9"/>
              <w:widowControl/>
              <w:autoSpaceDE w:val="0"/>
              <w:autoSpaceDN w:val="0"/>
              <w:adjustRightInd w:val="0"/>
              <w:snapToGrid w:val="0"/>
              <w:ind w:firstLine="723" w:firstLineChars="300"/>
              <w:jc w:val="both"/>
              <w:textAlignment w:val="baseline"/>
              <w:rPr>
                <w:rFonts w:hint="eastAsia" w:ascii="仿宋" w:hAnsi="仿宋" w:eastAsia="仿宋" w:cs="仿宋"/>
                <w:b/>
                <w:bCs/>
                <w:sz w:val="24"/>
                <w:szCs w:val="24"/>
                <w:highlight w:val="none"/>
                <w:lang w:val="en-US" w:eastAsia="zh-CN"/>
              </w:rPr>
            </w:pPr>
          </w:p>
        </w:tc>
        <w:tc>
          <w:tcPr>
            <w:tcW w:w="1133" w:type="dxa"/>
            <w:noWrap w:val="0"/>
            <w:vAlign w:val="center"/>
          </w:tcPr>
          <w:p>
            <w:pPr>
              <w:pStyle w:val="9"/>
              <w:widowControl/>
              <w:autoSpaceDE w:val="0"/>
              <w:autoSpaceDN w:val="0"/>
              <w:adjustRightInd w:val="0"/>
              <w:snapToGrid w:val="0"/>
              <w:ind w:left="0" w:leftChars="0" w:firstLine="241" w:firstLineChars="100"/>
              <w:jc w:val="both"/>
              <w:textAlignment w:val="baseline"/>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100%</w:t>
            </w:r>
          </w:p>
        </w:tc>
      </w:tr>
    </w:tbl>
    <w:p>
      <w:pPr>
        <w:ind w:firstLine="600" w:firstLineChars="200"/>
        <w:rPr>
          <w:rFonts w:hint="eastAsia" w:ascii="仿宋" w:hAnsi="仿宋" w:eastAsia="仿宋" w:cs="仿宋"/>
          <w:b/>
          <w:bCs/>
          <w:sz w:val="30"/>
          <w:szCs w:val="30"/>
        </w:rPr>
      </w:pPr>
      <w:r>
        <w:rPr>
          <w:rFonts w:hint="eastAsia" w:ascii="黑体" w:hAnsi="黑体" w:eastAsia="黑体"/>
          <w:sz w:val="30"/>
          <w:szCs w:val="30"/>
          <w:lang w:val="en-US" w:eastAsia="zh-CN"/>
        </w:rPr>
        <w:t>五、</w:t>
      </w:r>
      <w:r>
        <w:rPr>
          <w:rFonts w:hint="eastAsia" w:ascii="黑体" w:hAnsi="黑体" w:eastAsia="黑体"/>
          <w:sz w:val="30"/>
          <w:szCs w:val="30"/>
        </w:rPr>
        <w:t>项目风险与应对措施</w:t>
      </w:r>
    </w:p>
    <w:p>
      <w:pPr>
        <w:spacing w:line="620" w:lineRule="exact"/>
        <w:ind w:firstLine="600" w:firstLineChars="200"/>
        <w:rPr>
          <w:rFonts w:hint="eastAsia" w:ascii="仿宋" w:hAnsi="仿宋" w:eastAsia="仿宋" w:cs="仿宋"/>
          <w:bCs/>
          <w:sz w:val="30"/>
          <w:szCs w:val="30"/>
        </w:rPr>
      </w:pPr>
      <w:r>
        <w:rPr>
          <w:rFonts w:hint="eastAsia" w:ascii="仿宋" w:hAnsi="仿宋" w:eastAsia="仿宋" w:cs="仿宋"/>
          <w:bCs/>
          <w:sz w:val="30"/>
          <w:szCs w:val="30"/>
          <w:lang w:val="en-US" w:eastAsia="zh-CN"/>
        </w:rPr>
        <w:t>（一</w:t>
      </w:r>
      <w:r>
        <w:rPr>
          <w:rFonts w:hint="eastAsia" w:ascii="仿宋" w:hAnsi="仿宋" w:eastAsia="仿宋" w:cs="仿宋"/>
          <w:bCs/>
          <w:sz w:val="30"/>
          <w:szCs w:val="30"/>
          <w:lang w:eastAsia="zh-CN"/>
        </w:rPr>
        <w:t>）</w:t>
      </w:r>
      <w:r>
        <w:rPr>
          <w:rFonts w:hint="eastAsia" w:ascii="仿宋" w:hAnsi="仿宋" w:eastAsia="仿宋" w:cs="仿宋"/>
          <w:bCs/>
          <w:sz w:val="30"/>
          <w:szCs w:val="30"/>
        </w:rPr>
        <w:t>管理风险</w:t>
      </w:r>
    </w:p>
    <w:p>
      <w:pPr>
        <w:spacing w:line="620" w:lineRule="exact"/>
        <w:ind w:firstLine="600" w:firstLineChars="200"/>
        <w:rPr>
          <w:rFonts w:hint="eastAsia" w:ascii="仿宋" w:hAnsi="仿宋" w:eastAsia="仿宋" w:cs="仿宋"/>
          <w:bCs/>
          <w:sz w:val="30"/>
          <w:szCs w:val="30"/>
        </w:rPr>
      </w:pPr>
      <w:r>
        <w:rPr>
          <w:rFonts w:hint="eastAsia" w:ascii="仿宋" w:hAnsi="仿宋" w:eastAsia="仿宋" w:cs="仿宋"/>
          <w:bCs/>
          <w:sz w:val="30"/>
          <w:szCs w:val="30"/>
          <w:lang w:eastAsia="zh-CN"/>
        </w:rPr>
        <w:t>可能面临的风险点：</w:t>
      </w:r>
      <w:r>
        <w:rPr>
          <w:rFonts w:hint="eastAsia" w:ascii="仿宋" w:hAnsi="仿宋" w:eastAsia="仿宋" w:cs="仿宋"/>
          <w:bCs/>
          <w:sz w:val="30"/>
          <w:szCs w:val="30"/>
        </w:rPr>
        <w:t>项目流程不规范，导致执行环节出现责任推诿、监管真空</w:t>
      </w:r>
      <w:r>
        <w:rPr>
          <w:rFonts w:hint="eastAsia" w:ascii="仿宋" w:hAnsi="仿宋" w:eastAsia="仿宋" w:cs="仿宋"/>
          <w:bCs/>
          <w:sz w:val="30"/>
          <w:szCs w:val="30"/>
          <w:lang w:eastAsia="zh-CN"/>
        </w:rPr>
        <w:t>；</w:t>
      </w:r>
      <w:r>
        <w:rPr>
          <w:rFonts w:hint="eastAsia" w:ascii="仿宋" w:hAnsi="仿宋" w:eastAsia="仿宋" w:cs="仿宋"/>
          <w:bCs/>
          <w:sz w:val="30"/>
          <w:szCs w:val="30"/>
        </w:rPr>
        <w:t>合作医院</w:t>
      </w:r>
      <w:r>
        <w:rPr>
          <w:rFonts w:hint="eastAsia" w:ascii="仿宋" w:hAnsi="仿宋" w:eastAsia="仿宋" w:cs="仿宋"/>
          <w:bCs/>
          <w:sz w:val="30"/>
          <w:szCs w:val="30"/>
          <w:lang w:val="en-US" w:eastAsia="zh-CN"/>
        </w:rPr>
        <w:t>/机构</w:t>
      </w:r>
      <w:r>
        <w:rPr>
          <w:rFonts w:hint="eastAsia" w:ascii="仿宋" w:hAnsi="仿宋" w:eastAsia="仿宋" w:cs="仿宋"/>
          <w:bCs/>
          <w:sz w:val="30"/>
          <w:szCs w:val="30"/>
        </w:rPr>
        <w:t>资质参差不齐，服务标准不统一。</w:t>
      </w:r>
    </w:p>
    <w:p>
      <w:pPr>
        <w:spacing w:line="620" w:lineRule="exact"/>
        <w:ind w:firstLine="600" w:firstLineChars="200"/>
        <w:rPr>
          <w:rFonts w:hint="eastAsia"/>
        </w:rPr>
      </w:pPr>
      <w:r>
        <w:rPr>
          <w:rFonts w:hint="eastAsia" w:ascii="仿宋" w:hAnsi="仿宋" w:eastAsia="仿宋" w:cs="仿宋"/>
          <w:bCs/>
          <w:sz w:val="30"/>
          <w:szCs w:val="30"/>
        </w:rPr>
        <w:t>应对措施</w:t>
      </w:r>
      <w:r>
        <w:rPr>
          <w:rFonts w:hint="eastAsia" w:ascii="仿宋" w:hAnsi="仿宋" w:eastAsia="仿宋" w:cs="仿宋"/>
          <w:bCs/>
          <w:sz w:val="30"/>
          <w:szCs w:val="30"/>
          <w:lang w:eastAsia="zh-CN"/>
        </w:rPr>
        <w:t>：</w:t>
      </w:r>
      <w:r>
        <w:rPr>
          <w:rFonts w:hint="eastAsia" w:ascii="仿宋" w:hAnsi="仿宋" w:eastAsia="仿宋" w:cs="仿宋"/>
          <w:bCs/>
          <w:sz w:val="30"/>
          <w:szCs w:val="30"/>
        </w:rPr>
        <w:t>建立“一项目一档案”制度，全程留痕</w:t>
      </w:r>
      <w:r>
        <w:rPr>
          <w:rFonts w:hint="eastAsia" w:ascii="仿宋" w:hAnsi="仿宋" w:eastAsia="仿宋" w:cs="仿宋"/>
          <w:bCs/>
          <w:sz w:val="30"/>
          <w:szCs w:val="30"/>
          <w:lang w:eastAsia="zh-CN"/>
        </w:rPr>
        <w:t>；</w:t>
      </w:r>
      <w:r>
        <w:rPr>
          <w:rFonts w:hint="eastAsia" w:ascii="仿宋" w:hAnsi="仿宋" w:eastAsia="仿宋" w:cs="仿宋"/>
          <w:bCs/>
          <w:sz w:val="30"/>
          <w:szCs w:val="30"/>
        </w:rPr>
        <w:t>对合作医院</w:t>
      </w:r>
      <w:r>
        <w:rPr>
          <w:rFonts w:hint="eastAsia" w:ascii="仿宋" w:hAnsi="仿宋" w:eastAsia="仿宋" w:cs="仿宋"/>
          <w:bCs/>
          <w:sz w:val="30"/>
          <w:szCs w:val="30"/>
          <w:lang w:val="en-US" w:eastAsia="zh-CN"/>
        </w:rPr>
        <w:t>/机构</w:t>
      </w:r>
      <w:r>
        <w:rPr>
          <w:rFonts w:hint="eastAsia" w:ascii="仿宋" w:hAnsi="仿宋" w:eastAsia="仿宋" w:cs="仿宋"/>
          <w:bCs/>
          <w:sz w:val="30"/>
          <w:szCs w:val="30"/>
        </w:rPr>
        <w:t>设定准入清单：资质、等级、投诉记录、既往公益项目</w:t>
      </w:r>
      <w:r>
        <w:rPr>
          <w:rFonts w:hint="eastAsia" w:ascii="仿宋" w:hAnsi="仿宋" w:eastAsia="仿宋" w:cs="仿宋"/>
          <w:bCs/>
          <w:sz w:val="30"/>
          <w:szCs w:val="30"/>
          <w:lang w:eastAsia="zh-CN"/>
        </w:rPr>
        <w:t>效果；</w:t>
      </w:r>
      <w:r>
        <w:rPr>
          <w:rFonts w:hint="eastAsia" w:ascii="仿宋" w:hAnsi="仿宋" w:eastAsia="仿宋" w:cs="仿宋"/>
          <w:bCs/>
          <w:sz w:val="30"/>
          <w:szCs w:val="30"/>
        </w:rPr>
        <w:t>执行团队</w:t>
      </w:r>
      <w:r>
        <w:rPr>
          <w:rFonts w:hint="eastAsia" w:ascii="仿宋" w:hAnsi="仿宋" w:eastAsia="仿宋" w:cs="仿宋"/>
          <w:bCs/>
          <w:sz w:val="30"/>
          <w:szCs w:val="30"/>
          <w:lang w:eastAsia="zh-CN"/>
        </w:rPr>
        <w:t>设立</w:t>
      </w:r>
      <w:r>
        <w:rPr>
          <w:rFonts w:hint="eastAsia" w:ascii="仿宋" w:hAnsi="仿宋" w:eastAsia="仿宋" w:cs="仿宋"/>
          <w:bCs/>
          <w:sz w:val="30"/>
          <w:szCs w:val="30"/>
        </w:rPr>
        <w:t>固定负责人</w:t>
      </w:r>
      <w:r>
        <w:rPr>
          <w:rFonts w:hint="eastAsia" w:ascii="仿宋" w:hAnsi="仿宋" w:eastAsia="仿宋" w:cs="仿宋"/>
          <w:bCs/>
          <w:sz w:val="30"/>
          <w:szCs w:val="30"/>
          <w:lang w:val="en-US" w:eastAsia="zh-CN"/>
        </w:rPr>
        <w:t>及</w:t>
      </w:r>
      <w:r>
        <w:rPr>
          <w:rFonts w:hint="eastAsia" w:ascii="仿宋" w:hAnsi="仿宋" w:eastAsia="仿宋" w:cs="仿宋"/>
          <w:bCs/>
          <w:sz w:val="30"/>
          <w:szCs w:val="30"/>
        </w:rPr>
        <w:t>替补机制，培训与考核制度化，减少</w:t>
      </w:r>
      <w:r>
        <w:rPr>
          <w:rFonts w:hint="eastAsia" w:ascii="仿宋" w:hAnsi="仿宋" w:eastAsia="仿宋" w:cs="仿宋"/>
          <w:bCs/>
          <w:sz w:val="30"/>
          <w:szCs w:val="30"/>
          <w:lang w:val="en-US" w:eastAsia="zh-CN"/>
        </w:rPr>
        <w:t>人员变动</w:t>
      </w:r>
      <w:r>
        <w:rPr>
          <w:rFonts w:hint="eastAsia" w:ascii="仿宋" w:hAnsi="仿宋" w:eastAsia="仿宋" w:cs="仿宋"/>
          <w:bCs/>
          <w:sz w:val="30"/>
          <w:szCs w:val="30"/>
        </w:rPr>
        <w:t>带来的波动。</w:t>
      </w:r>
    </w:p>
    <w:p>
      <w:pPr>
        <w:spacing w:line="620" w:lineRule="exact"/>
        <w:ind w:firstLine="600" w:firstLineChars="200"/>
        <w:rPr>
          <w:rFonts w:hint="eastAsia" w:ascii="仿宋" w:hAnsi="仿宋" w:eastAsia="仿宋" w:cs="仿宋"/>
          <w:bCs/>
          <w:sz w:val="30"/>
          <w:szCs w:val="30"/>
        </w:rPr>
      </w:pP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二</w:t>
      </w:r>
      <w:r>
        <w:rPr>
          <w:rFonts w:hint="eastAsia" w:ascii="仿宋" w:hAnsi="仿宋" w:eastAsia="仿宋" w:cs="仿宋"/>
          <w:bCs/>
          <w:sz w:val="30"/>
          <w:szCs w:val="30"/>
          <w:lang w:eastAsia="zh-CN"/>
        </w:rPr>
        <w:t>）</w:t>
      </w:r>
      <w:r>
        <w:rPr>
          <w:rFonts w:hint="eastAsia" w:ascii="仿宋" w:hAnsi="仿宋" w:eastAsia="仿宋" w:cs="仿宋"/>
          <w:bCs/>
          <w:sz w:val="30"/>
          <w:szCs w:val="30"/>
        </w:rPr>
        <w:t>合规风险（含资料真实性）</w:t>
      </w:r>
    </w:p>
    <w:p>
      <w:pPr>
        <w:spacing w:line="620" w:lineRule="exact"/>
        <w:ind w:firstLine="600" w:firstLineChars="200"/>
        <w:rPr>
          <w:rFonts w:hint="eastAsia" w:ascii="仿宋" w:hAnsi="仿宋" w:eastAsia="仿宋" w:cs="仿宋"/>
          <w:bCs/>
          <w:sz w:val="30"/>
          <w:szCs w:val="30"/>
        </w:rPr>
      </w:pPr>
      <w:r>
        <w:rPr>
          <w:rFonts w:hint="eastAsia" w:ascii="仿宋" w:hAnsi="仿宋" w:eastAsia="仿宋" w:cs="仿宋"/>
          <w:bCs/>
          <w:sz w:val="30"/>
          <w:szCs w:val="30"/>
          <w:lang w:eastAsia="zh-CN"/>
        </w:rPr>
        <w:t>可能面临的风险点：</w:t>
      </w:r>
      <w:r>
        <w:rPr>
          <w:rFonts w:hint="eastAsia" w:ascii="仿宋" w:hAnsi="仿宋" w:eastAsia="仿宋" w:cs="仿宋"/>
          <w:bCs/>
          <w:sz w:val="30"/>
          <w:szCs w:val="30"/>
        </w:rPr>
        <w:t>受助对象资料造假、年龄不符、诊断存疑</w:t>
      </w:r>
      <w:r>
        <w:rPr>
          <w:rFonts w:hint="eastAsia" w:ascii="仿宋" w:hAnsi="仿宋" w:eastAsia="仿宋" w:cs="仿宋"/>
          <w:bCs/>
          <w:sz w:val="30"/>
          <w:szCs w:val="30"/>
          <w:lang w:eastAsia="zh-CN"/>
        </w:rPr>
        <w:t>，</w:t>
      </w:r>
      <w:r>
        <w:rPr>
          <w:rFonts w:hint="eastAsia" w:ascii="仿宋" w:hAnsi="仿宋" w:eastAsia="仿宋" w:cs="仿宋"/>
          <w:bCs/>
          <w:sz w:val="30"/>
          <w:szCs w:val="30"/>
        </w:rPr>
        <w:t>或角膜塑形镜适配记录不实。</w:t>
      </w:r>
    </w:p>
    <w:p>
      <w:pPr>
        <w:spacing w:line="620" w:lineRule="exact"/>
        <w:ind w:firstLine="600" w:firstLineChars="200"/>
        <w:rPr>
          <w:rFonts w:hint="eastAsia" w:ascii="仿宋" w:hAnsi="仿宋" w:eastAsia="仿宋" w:cs="仿宋"/>
          <w:bCs/>
          <w:sz w:val="30"/>
          <w:szCs w:val="30"/>
          <w:lang w:eastAsia="zh-CN"/>
        </w:rPr>
      </w:pPr>
      <w:r>
        <w:rPr>
          <w:rFonts w:hint="eastAsia" w:ascii="仿宋" w:hAnsi="仿宋" w:eastAsia="仿宋" w:cs="仿宋"/>
          <w:bCs/>
          <w:sz w:val="30"/>
          <w:szCs w:val="30"/>
          <w:lang w:eastAsia="zh-CN"/>
        </w:rPr>
        <w:t>应对措施：项目资料采用：原件+医院盖章+资料邮寄，杜绝“PS材料”。保留所有电子档案与纸质档案，</w:t>
      </w:r>
      <w:r>
        <w:rPr>
          <w:rFonts w:hint="eastAsia" w:ascii="仿宋" w:hAnsi="仿宋" w:eastAsia="仿宋" w:cs="仿宋"/>
          <w:bCs/>
          <w:sz w:val="30"/>
          <w:szCs w:val="30"/>
          <w:lang w:val="en-US" w:eastAsia="zh-CN"/>
        </w:rPr>
        <w:t>由</w:t>
      </w:r>
      <w:r>
        <w:rPr>
          <w:rFonts w:hint="eastAsia" w:ascii="仿宋" w:hAnsi="仿宋" w:eastAsia="仿宋" w:cs="仿宋"/>
          <w:bCs/>
          <w:sz w:val="30"/>
          <w:szCs w:val="30"/>
          <w:lang w:eastAsia="zh-CN"/>
        </w:rPr>
        <w:t>工作人员核对</w:t>
      </w:r>
      <w:r>
        <w:rPr>
          <w:rFonts w:hint="eastAsia" w:ascii="仿宋" w:hAnsi="仿宋" w:eastAsia="仿宋" w:cs="仿宋"/>
          <w:bCs/>
          <w:sz w:val="30"/>
          <w:szCs w:val="30"/>
          <w:lang w:val="en-US" w:eastAsia="zh-CN"/>
        </w:rPr>
        <w:t>确认</w:t>
      </w:r>
      <w:r>
        <w:rPr>
          <w:rFonts w:hint="eastAsia" w:ascii="仿宋" w:hAnsi="仿宋" w:eastAsia="仿宋" w:cs="仿宋"/>
          <w:bCs/>
          <w:sz w:val="30"/>
          <w:szCs w:val="30"/>
          <w:lang w:eastAsia="zh-CN"/>
        </w:rPr>
        <w:t>，确保可追溯。</w:t>
      </w:r>
    </w:p>
    <w:p>
      <w:pPr>
        <w:spacing w:line="620" w:lineRule="exact"/>
        <w:ind w:firstLine="600" w:firstLineChars="200"/>
        <w:rPr>
          <w:rFonts w:hint="eastAsia" w:ascii="仿宋" w:hAnsi="仿宋" w:eastAsia="仿宋" w:cs="仿宋"/>
          <w:bCs/>
          <w:sz w:val="30"/>
          <w:szCs w:val="30"/>
        </w:rPr>
      </w:pP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三</w:t>
      </w:r>
      <w:r>
        <w:rPr>
          <w:rFonts w:hint="eastAsia" w:ascii="仿宋" w:hAnsi="仿宋" w:eastAsia="仿宋" w:cs="仿宋"/>
          <w:bCs/>
          <w:sz w:val="30"/>
          <w:szCs w:val="30"/>
          <w:lang w:eastAsia="zh-CN"/>
        </w:rPr>
        <w:t>）</w:t>
      </w:r>
      <w:r>
        <w:rPr>
          <w:rFonts w:hint="eastAsia" w:ascii="仿宋" w:hAnsi="仿宋" w:eastAsia="仿宋" w:cs="仿宋"/>
          <w:bCs/>
          <w:sz w:val="30"/>
          <w:szCs w:val="30"/>
        </w:rPr>
        <w:t>执行风险（服务落地</w:t>
      </w:r>
      <w:r>
        <w:rPr>
          <w:rFonts w:hint="eastAsia" w:ascii="仿宋" w:hAnsi="仿宋" w:eastAsia="仿宋" w:cs="仿宋"/>
          <w:bCs/>
          <w:sz w:val="30"/>
          <w:szCs w:val="30"/>
          <w:lang w:val="en-US" w:eastAsia="zh-CN"/>
        </w:rPr>
        <w:t>与</w:t>
      </w:r>
      <w:r>
        <w:rPr>
          <w:rFonts w:hint="eastAsia" w:ascii="仿宋" w:hAnsi="仿宋" w:eastAsia="仿宋" w:cs="仿宋"/>
          <w:bCs/>
          <w:sz w:val="30"/>
          <w:szCs w:val="30"/>
        </w:rPr>
        <w:t>效果达标）</w:t>
      </w:r>
    </w:p>
    <w:p>
      <w:pPr>
        <w:ind w:firstLine="600" w:firstLineChars="200"/>
        <w:rPr>
          <w:rFonts w:hint="eastAsia" w:ascii="仿宋" w:hAnsi="仿宋" w:eastAsia="仿宋" w:cs="仿宋"/>
          <w:bCs/>
          <w:sz w:val="30"/>
          <w:szCs w:val="30"/>
          <w:lang w:eastAsia="zh-CN"/>
        </w:rPr>
      </w:pPr>
      <w:r>
        <w:rPr>
          <w:rFonts w:hint="eastAsia" w:ascii="仿宋" w:hAnsi="仿宋" w:eastAsia="仿宋" w:cs="仿宋"/>
          <w:bCs/>
          <w:sz w:val="30"/>
          <w:szCs w:val="30"/>
          <w:lang w:eastAsia="zh-CN"/>
        </w:rPr>
        <w:t>可能面临的风险点：</w:t>
      </w:r>
      <w:r>
        <w:rPr>
          <w:rFonts w:hint="eastAsia" w:ascii="仿宋" w:hAnsi="仿宋" w:eastAsia="仿宋" w:cs="仿宋"/>
          <w:bCs/>
          <w:sz w:val="30"/>
          <w:szCs w:val="30"/>
        </w:rPr>
        <w:t>义诊筛查、手术排期、随访等环节延误</w:t>
      </w:r>
      <w:r>
        <w:rPr>
          <w:rFonts w:hint="eastAsia" w:ascii="仿宋" w:hAnsi="仿宋" w:eastAsia="仿宋" w:cs="仿宋"/>
          <w:bCs/>
          <w:sz w:val="30"/>
          <w:szCs w:val="30"/>
          <w:lang w:eastAsia="zh-CN"/>
        </w:rPr>
        <w:t>；</w:t>
      </w:r>
      <w:r>
        <w:rPr>
          <w:rFonts w:hint="eastAsia" w:ascii="仿宋" w:hAnsi="仿宋" w:eastAsia="仿宋" w:cs="仿宋"/>
          <w:bCs/>
          <w:sz w:val="30"/>
          <w:szCs w:val="30"/>
        </w:rPr>
        <w:t>复诊率低、患者中断</w:t>
      </w:r>
      <w:r>
        <w:rPr>
          <w:rFonts w:hint="eastAsia" w:ascii="仿宋" w:hAnsi="仿宋" w:eastAsia="仿宋" w:cs="仿宋"/>
          <w:bCs/>
          <w:sz w:val="30"/>
          <w:szCs w:val="30"/>
          <w:lang w:eastAsia="zh-CN"/>
        </w:rPr>
        <w:t>治疗，或角膜塑形镜佩戴者依从性差、未按医嘱定期复查，影响项目成效。</w:t>
      </w:r>
    </w:p>
    <w:p>
      <w:pPr>
        <w:ind w:firstLine="600" w:firstLineChars="200"/>
        <w:rPr>
          <w:rFonts w:hint="eastAsia"/>
        </w:rPr>
      </w:pPr>
      <w:r>
        <w:rPr>
          <w:rFonts w:hint="eastAsia" w:ascii="仿宋" w:hAnsi="仿宋" w:eastAsia="仿宋" w:cs="仿宋"/>
          <w:bCs/>
          <w:sz w:val="30"/>
          <w:szCs w:val="30"/>
        </w:rPr>
        <w:t>应对措施</w:t>
      </w:r>
      <w:r>
        <w:rPr>
          <w:rFonts w:hint="eastAsia" w:ascii="仿宋" w:hAnsi="仿宋" w:eastAsia="仿宋" w:cs="仿宋"/>
          <w:bCs/>
          <w:sz w:val="30"/>
          <w:szCs w:val="30"/>
          <w:lang w:eastAsia="zh-CN"/>
        </w:rPr>
        <w:t>：</w:t>
      </w:r>
      <w:r>
        <w:rPr>
          <w:rFonts w:hint="eastAsia" w:ascii="仿宋" w:hAnsi="仿宋" w:eastAsia="仿宋" w:cs="仿宋"/>
          <w:bCs/>
          <w:sz w:val="30"/>
          <w:szCs w:val="30"/>
        </w:rPr>
        <w:t>提前与医院</w:t>
      </w:r>
      <w:r>
        <w:rPr>
          <w:rFonts w:hint="eastAsia" w:ascii="仿宋" w:hAnsi="仿宋" w:eastAsia="仿宋" w:cs="仿宋"/>
          <w:bCs/>
          <w:sz w:val="30"/>
          <w:szCs w:val="30"/>
          <w:lang w:val="en-US" w:eastAsia="zh-CN"/>
        </w:rPr>
        <w:t>约定</w:t>
      </w:r>
      <w:r>
        <w:rPr>
          <w:rFonts w:hint="eastAsia" w:ascii="仿宋" w:hAnsi="仿宋" w:eastAsia="仿宋" w:cs="仿宋"/>
          <w:bCs/>
          <w:sz w:val="30"/>
          <w:szCs w:val="30"/>
        </w:rPr>
        <w:t>，按患者优先级制定时间线</w:t>
      </w:r>
      <w:r>
        <w:rPr>
          <w:rFonts w:hint="eastAsia" w:ascii="仿宋" w:hAnsi="仿宋" w:eastAsia="仿宋" w:cs="仿宋"/>
          <w:bCs/>
          <w:sz w:val="30"/>
          <w:szCs w:val="30"/>
          <w:lang w:eastAsia="zh-CN"/>
        </w:rPr>
        <w:t>；</w:t>
      </w:r>
      <w:r>
        <w:rPr>
          <w:rFonts w:hint="eastAsia" w:ascii="仿宋" w:hAnsi="仿宋" w:eastAsia="仿宋" w:cs="仿宋"/>
          <w:bCs/>
          <w:sz w:val="30"/>
          <w:szCs w:val="30"/>
        </w:rPr>
        <w:t>术后固</w:t>
      </w:r>
      <w:r>
        <w:rPr>
          <w:rFonts w:hint="eastAsia" w:ascii="仿宋" w:hAnsi="仿宋" w:eastAsia="仿宋" w:cs="仿宋"/>
          <w:bCs/>
          <w:sz w:val="30"/>
          <w:szCs w:val="30"/>
          <w:lang w:eastAsia="zh-CN"/>
        </w:rPr>
        <w:t>定回访，角膜塑形镜适配者增加佩戴规范指导及适配后定期复查跟踪，记录在案。</w:t>
      </w:r>
    </w:p>
    <w:p>
      <w:pPr>
        <w:numPr>
          <w:ilvl w:val="0"/>
          <w:numId w:val="0"/>
        </w:numPr>
        <w:ind w:firstLine="600" w:firstLineChars="200"/>
        <w:rPr>
          <w:rFonts w:hint="eastAsia" w:ascii="仿宋" w:hAnsi="仿宋" w:eastAsia="仿宋" w:cs="仿宋"/>
          <w:bCs/>
          <w:sz w:val="30"/>
          <w:szCs w:val="30"/>
          <w:lang w:eastAsia="zh-CN"/>
        </w:rPr>
      </w:pPr>
      <w:r>
        <w:rPr>
          <w:rFonts w:hint="eastAsia" w:ascii="仿宋" w:hAnsi="仿宋" w:eastAsia="仿宋" w:cs="仿宋"/>
          <w:bCs/>
          <w:sz w:val="30"/>
          <w:szCs w:val="30"/>
          <w:lang w:eastAsia="zh-CN"/>
        </w:rPr>
        <w:t>（</w:t>
      </w:r>
      <w:r>
        <w:rPr>
          <w:rFonts w:hint="eastAsia" w:ascii="仿宋" w:hAnsi="仿宋" w:eastAsia="仿宋" w:cs="仿宋"/>
          <w:bCs/>
          <w:sz w:val="30"/>
          <w:szCs w:val="30"/>
          <w:lang w:val="en-US" w:eastAsia="zh-CN"/>
        </w:rPr>
        <w:t>四</w:t>
      </w:r>
      <w:r>
        <w:rPr>
          <w:rFonts w:hint="eastAsia" w:ascii="仿宋" w:hAnsi="仿宋" w:eastAsia="仿宋" w:cs="仿宋"/>
          <w:bCs/>
          <w:sz w:val="30"/>
          <w:szCs w:val="30"/>
          <w:lang w:eastAsia="zh-CN"/>
        </w:rPr>
        <w:t>）财务风险</w:t>
      </w:r>
    </w:p>
    <w:p>
      <w:pPr>
        <w:numPr>
          <w:ilvl w:val="0"/>
          <w:numId w:val="0"/>
        </w:numPr>
        <w:ind w:firstLine="600" w:firstLineChars="200"/>
        <w:rPr>
          <w:rFonts w:hint="eastAsia" w:ascii="仿宋" w:hAnsi="仿宋" w:eastAsia="仿宋" w:cs="仿宋"/>
          <w:bCs/>
          <w:sz w:val="30"/>
          <w:szCs w:val="30"/>
        </w:rPr>
      </w:pPr>
      <w:r>
        <w:rPr>
          <w:rFonts w:hint="eastAsia" w:ascii="仿宋" w:hAnsi="仿宋" w:eastAsia="仿宋" w:cs="仿宋"/>
          <w:bCs/>
          <w:sz w:val="30"/>
          <w:szCs w:val="30"/>
          <w:lang w:eastAsia="zh-CN"/>
        </w:rPr>
        <w:t>可能面临的风险点：</w:t>
      </w:r>
      <w:r>
        <w:rPr>
          <w:rFonts w:hint="eastAsia" w:ascii="仿宋" w:hAnsi="仿宋" w:eastAsia="仿宋" w:cs="仿宋"/>
          <w:bCs/>
          <w:sz w:val="30"/>
          <w:szCs w:val="30"/>
        </w:rPr>
        <w:t>预算超支</w:t>
      </w:r>
      <w:r>
        <w:rPr>
          <w:rFonts w:hint="eastAsia" w:ascii="仿宋" w:hAnsi="仿宋" w:eastAsia="仿宋" w:cs="仿宋"/>
          <w:bCs/>
          <w:sz w:val="30"/>
          <w:szCs w:val="30"/>
          <w:lang w:eastAsia="zh-CN"/>
        </w:rPr>
        <w:t>，</w:t>
      </w:r>
      <w:r>
        <w:rPr>
          <w:rFonts w:hint="eastAsia" w:ascii="仿宋" w:hAnsi="仿宋" w:eastAsia="仿宋" w:cs="仿宋"/>
          <w:bCs/>
          <w:sz w:val="30"/>
          <w:szCs w:val="30"/>
        </w:rPr>
        <w:t>财务合规不足，面临审计或税务质疑。</w:t>
      </w:r>
    </w:p>
    <w:p>
      <w:pPr>
        <w:ind w:firstLine="600" w:firstLineChars="200"/>
        <w:rPr>
          <w:rFonts w:hint="eastAsia" w:ascii="仿宋" w:hAnsi="仿宋" w:eastAsia="仿宋" w:cs="仿宋"/>
          <w:bCs/>
          <w:sz w:val="30"/>
          <w:szCs w:val="30"/>
        </w:rPr>
      </w:pPr>
      <w:r>
        <w:rPr>
          <w:rFonts w:hint="eastAsia" w:ascii="仿宋" w:hAnsi="仿宋" w:eastAsia="仿宋" w:cs="仿宋"/>
          <w:bCs/>
          <w:sz w:val="30"/>
          <w:szCs w:val="30"/>
        </w:rPr>
        <w:t>应对措施</w:t>
      </w:r>
      <w:r>
        <w:rPr>
          <w:rFonts w:hint="eastAsia" w:ascii="仿宋" w:hAnsi="仿宋" w:eastAsia="仿宋" w:cs="仿宋"/>
          <w:bCs/>
          <w:sz w:val="30"/>
          <w:szCs w:val="30"/>
          <w:lang w:eastAsia="zh-CN"/>
        </w:rPr>
        <w:t>：</w:t>
      </w:r>
      <w:r>
        <w:rPr>
          <w:rFonts w:hint="eastAsia" w:ascii="仿宋" w:hAnsi="仿宋" w:eastAsia="仿宋" w:cs="仿宋"/>
          <w:bCs/>
          <w:sz w:val="30"/>
          <w:szCs w:val="30"/>
        </w:rPr>
        <w:t>执行专款专用，强化</w:t>
      </w:r>
      <w:r>
        <w:rPr>
          <w:rFonts w:hint="eastAsia" w:ascii="仿宋" w:hAnsi="仿宋" w:eastAsia="仿宋" w:cs="仿宋"/>
          <w:bCs/>
          <w:sz w:val="30"/>
          <w:szCs w:val="30"/>
          <w:lang w:eastAsia="zh-CN"/>
        </w:rPr>
        <w:t>就诊资料</w:t>
      </w:r>
      <w:r>
        <w:rPr>
          <w:rFonts w:hint="eastAsia" w:ascii="仿宋" w:hAnsi="仿宋" w:eastAsia="仿宋" w:cs="仿宋"/>
          <w:bCs/>
          <w:sz w:val="30"/>
          <w:szCs w:val="30"/>
        </w:rPr>
        <w:t>合规率100%，支出必须</w:t>
      </w:r>
      <w:r>
        <w:rPr>
          <w:rFonts w:hint="eastAsia" w:ascii="仿宋" w:hAnsi="仿宋" w:eastAsia="仿宋" w:cs="仿宋"/>
          <w:bCs/>
          <w:sz w:val="30"/>
          <w:szCs w:val="30"/>
          <w:lang w:val="en-US" w:eastAsia="zh-CN"/>
        </w:rPr>
        <w:t>按</w:t>
      </w:r>
      <w:r>
        <w:rPr>
          <w:rFonts w:hint="eastAsia" w:ascii="仿宋" w:hAnsi="仿宋" w:eastAsia="仿宋" w:cs="仿宋"/>
          <w:bCs/>
          <w:sz w:val="30"/>
          <w:szCs w:val="30"/>
        </w:rPr>
        <w:t>审批流程</w:t>
      </w:r>
      <w:r>
        <w:rPr>
          <w:rFonts w:hint="eastAsia" w:ascii="仿宋" w:hAnsi="仿宋" w:eastAsia="仿宋" w:cs="仿宋"/>
          <w:bCs/>
          <w:sz w:val="30"/>
          <w:szCs w:val="30"/>
          <w:lang w:val="en-US" w:eastAsia="zh-CN"/>
        </w:rPr>
        <w:t>执行</w:t>
      </w:r>
      <w:r>
        <w:rPr>
          <w:rFonts w:hint="eastAsia" w:ascii="仿宋" w:hAnsi="仿宋" w:eastAsia="仿宋" w:cs="仿宋"/>
          <w:bCs/>
          <w:sz w:val="30"/>
          <w:szCs w:val="30"/>
          <w:lang w:eastAsia="zh-CN"/>
        </w:rPr>
        <w:t>；</w:t>
      </w:r>
      <w:r>
        <w:rPr>
          <w:rFonts w:hint="eastAsia" w:ascii="仿宋" w:hAnsi="仿宋" w:eastAsia="仿宋" w:cs="仿宋"/>
          <w:bCs/>
          <w:sz w:val="30"/>
          <w:szCs w:val="30"/>
        </w:rPr>
        <w:t>每半年做一次项目财务</w:t>
      </w:r>
      <w:r>
        <w:rPr>
          <w:rFonts w:hint="eastAsia" w:ascii="仿宋" w:hAnsi="仿宋" w:eastAsia="仿宋" w:cs="仿宋"/>
          <w:bCs/>
          <w:sz w:val="30"/>
          <w:szCs w:val="30"/>
          <w:lang w:eastAsia="zh-CN"/>
        </w:rPr>
        <w:t>统计；</w:t>
      </w:r>
      <w:r>
        <w:rPr>
          <w:rFonts w:hint="eastAsia" w:ascii="仿宋" w:hAnsi="仿宋" w:eastAsia="仿宋" w:cs="仿宋"/>
          <w:bCs/>
          <w:sz w:val="30"/>
          <w:szCs w:val="30"/>
        </w:rPr>
        <w:t>所有捐赠资金需形成资金流向证明链，可</w:t>
      </w:r>
      <w:r>
        <w:rPr>
          <w:rFonts w:hint="eastAsia" w:ascii="仿宋" w:hAnsi="仿宋" w:eastAsia="仿宋" w:cs="仿宋"/>
          <w:bCs/>
          <w:sz w:val="30"/>
          <w:szCs w:val="30"/>
          <w:lang w:eastAsia="zh-CN"/>
        </w:rPr>
        <w:t>随时</w:t>
      </w:r>
      <w:r>
        <w:rPr>
          <w:rFonts w:hint="eastAsia" w:ascii="仿宋" w:hAnsi="仿宋" w:eastAsia="仿宋" w:cs="仿宋"/>
          <w:bCs/>
          <w:sz w:val="30"/>
          <w:szCs w:val="30"/>
        </w:rPr>
        <w:t>查阅。</w:t>
      </w:r>
    </w:p>
    <w:p>
      <w:pPr>
        <w:ind w:firstLine="640" w:firstLineChars="200"/>
        <w:rPr>
          <w:rFonts w:hint="eastAsia"/>
        </w:rPr>
      </w:pPr>
      <w:r>
        <w:rPr>
          <w:rFonts w:hint="eastAsia" w:ascii="黑体" w:hAnsi="黑体" w:eastAsia="黑体"/>
          <w:sz w:val="32"/>
          <w:szCs w:val="32"/>
        </w:rPr>
        <w:t>六、项目评估与监督</w:t>
      </w:r>
    </w:p>
    <w:p>
      <w:pPr>
        <w:pStyle w:val="8"/>
        <w:ind w:firstLine="640"/>
        <w:rPr>
          <w:rFonts w:hint="eastAsia" w:ascii="仿宋" w:hAnsi="仿宋" w:eastAsia="仿宋" w:cs="仿宋"/>
          <w:sz w:val="30"/>
          <w:szCs w:val="30"/>
        </w:rPr>
      </w:pPr>
      <w:r>
        <w:rPr>
          <w:rFonts w:hint="eastAsia" w:ascii="仿宋" w:hAnsi="仿宋" w:eastAsia="仿宋" w:cs="仿宋"/>
          <w:sz w:val="30"/>
          <w:szCs w:val="30"/>
        </w:rPr>
        <w:t>为保障项目规范实施，项目严格按照我会项目管理制度履行各项报批程序；</w:t>
      </w:r>
      <w:r>
        <w:rPr>
          <w:rFonts w:hint="eastAsia" w:ascii="仿宋" w:hAnsi="仿宋" w:eastAsia="仿宋" w:cs="仿宋"/>
          <w:sz w:val="30"/>
          <w:szCs w:val="30"/>
          <w:lang w:val="en-US" w:eastAsia="zh-CN"/>
        </w:rPr>
        <w:t>我部</w:t>
      </w:r>
      <w:r>
        <w:rPr>
          <w:rFonts w:hint="eastAsia" w:ascii="仿宋" w:hAnsi="仿宋" w:eastAsia="仿宋" w:cs="仿宋"/>
          <w:sz w:val="30"/>
          <w:szCs w:val="30"/>
        </w:rPr>
        <w:t>定期对执行机构项目执行情况进行跟踪了解，及时按协议约定拨付</w:t>
      </w:r>
      <w:r>
        <w:rPr>
          <w:rFonts w:hint="eastAsia" w:ascii="仿宋" w:hAnsi="仿宋" w:eastAsia="仿宋" w:cs="仿宋"/>
          <w:sz w:val="30"/>
          <w:szCs w:val="30"/>
          <w:lang w:val="en-US" w:eastAsia="zh-CN"/>
        </w:rPr>
        <w:t>款项</w:t>
      </w:r>
      <w:r>
        <w:rPr>
          <w:rFonts w:hint="eastAsia" w:ascii="仿宋" w:hAnsi="仿宋" w:eastAsia="仿宋" w:cs="仿宋"/>
          <w:sz w:val="30"/>
          <w:szCs w:val="30"/>
        </w:rPr>
        <w:t>，对执行机构款物使用情况予以监督，确保</w:t>
      </w:r>
      <w:r>
        <w:rPr>
          <w:rFonts w:hint="eastAsia" w:ascii="仿宋" w:hAnsi="仿宋" w:eastAsia="仿宋" w:cs="仿宋"/>
          <w:sz w:val="30"/>
          <w:szCs w:val="30"/>
          <w:lang w:val="en-US" w:eastAsia="zh-CN"/>
        </w:rPr>
        <w:t>款项</w:t>
      </w:r>
      <w:r>
        <w:rPr>
          <w:rFonts w:hint="eastAsia" w:ascii="仿宋" w:hAnsi="仿宋" w:eastAsia="仿宋" w:cs="仿宋"/>
          <w:sz w:val="30"/>
          <w:szCs w:val="30"/>
        </w:rPr>
        <w:t>使用方向、序时进度符合要求。</w:t>
      </w:r>
    </w:p>
    <w:p>
      <w:pPr>
        <w:ind w:firstLine="600" w:firstLineChars="200"/>
        <w:rPr>
          <w:rFonts w:hint="eastAsia"/>
        </w:rPr>
      </w:pPr>
      <w:r>
        <w:rPr>
          <w:rFonts w:hint="eastAsia" w:ascii="仿宋" w:hAnsi="仿宋" w:eastAsia="仿宋" w:cs="仿宋"/>
          <w:kern w:val="2"/>
          <w:sz w:val="30"/>
          <w:szCs w:val="30"/>
          <w:lang w:val="en-US" w:eastAsia="zh-CN" w:bidi="ar-SA"/>
        </w:rPr>
        <w:t>我会要求项目执行机构严格依照项目实施方案和协议约定开展项目，并在项目实施过程中定期开展跟踪回访等工作。如发现项目执行过程中出现问题或偏差，应及时向我会汇报并协调解决，以保证项目执行效果。</w:t>
      </w:r>
    </w:p>
    <w:p>
      <w:pPr>
        <w:ind w:firstLine="600" w:firstLineChars="200"/>
        <w:rPr>
          <w:rFonts w:hint="eastAsia" w:ascii="仿宋" w:hAnsi="仿宋" w:eastAsia="仿宋" w:cs="仿宋"/>
          <w:bCs/>
          <w:sz w:val="30"/>
          <w:szCs w:val="30"/>
        </w:rPr>
      </w:pPr>
      <w:r>
        <w:rPr>
          <w:rFonts w:hint="eastAsia" w:ascii="仿宋" w:hAnsi="仿宋" w:eastAsia="仿宋" w:cs="仿宋"/>
          <w:bCs/>
          <w:sz w:val="30"/>
          <w:szCs w:val="30"/>
        </w:rPr>
        <w:t>根据我会相关项目管理要求，项目执行机构在项目执行全过程中须随时接受我会业务部门及监管部门的监督。</w:t>
      </w:r>
    </w:p>
    <w:p>
      <w:pPr>
        <w:rPr>
          <w:rFonts w:hint="eastAsia" w:eastAsia="宋体"/>
          <w:lang w:eastAsia="zh-CN"/>
        </w:rPr>
      </w:pPr>
    </w:p>
    <w:p>
      <w:pPr>
        <w:numPr>
          <w:ilvl w:val="0"/>
          <w:numId w:val="0"/>
        </w:numPr>
        <w:rPr>
          <w:rFonts w:hint="default" w:ascii="仿宋" w:hAnsi="仿宋" w:eastAsia="仿宋"/>
          <w:sz w:val="32"/>
          <w:szCs w:val="32"/>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华文宋体">
    <w:panose1 w:val="02010600040101010101"/>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
    <w:panose1 w:val="02010600010101010101"/>
    <w:charset w:val="86"/>
    <w:family w:val="script"/>
    <w:pitch w:val="default"/>
    <w:sig w:usb0="00000001" w:usb1="080E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D554CC"/>
    <w:rsid w:val="0EA13631"/>
    <w:rsid w:val="138F3C93"/>
    <w:rsid w:val="1B8916E8"/>
    <w:rsid w:val="1CA92C52"/>
    <w:rsid w:val="1ED21B63"/>
    <w:rsid w:val="22904941"/>
    <w:rsid w:val="286D7229"/>
    <w:rsid w:val="2CDB535F"/>
    <w:rsid w:val="2CDB585D"/>
    <w:rsid w:val="2CE96C61"/>
    <w:rsid w:val="39FD0E77"/>
    <w:rsid w:val="3D0870C9"/>
    <w:rsid w:val="3F92260F"/>
    <w:rsid w:val="41AD2FCF"/>
    <w:rsid w:val="468E4AE3"/>
    <w:rsid w:val="47531291"/>
    <w:rsid w:val="54D554CC"/>
    <w:rsid w:val="556B0DD5"/>
    <w:rsid w:val="5A5100F3"/>
    <w:rsid w:val="5F13639C"/>
    <w:rsid w:val="6A6A74E6"/>
    <w:rsid w:val="72294EFE"/>
    <w:rsid w:val="75AE3719"/>
    <w:rsid w:val="7EC95F73"/>
    <w:rsid w:val="FFF7E2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rPr>
      <w:rFonts w:ascii="仿宋_GB2312" w:hAnsi="Times New Roman" w:cs="Times New Roman"/>
      <w:spacing w:val="-4"/>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page number"/>
    <w:basedOn w:val="6"/>
    <w:semiHidden/>
    <w:qFormat/>
    <w:uiPriority w:val="0"/>
  </w:style>
  <w:style w:type="paragraph" w:styleId="8">
    <w:name w:val="List Paragraph"/>
    <w:basedOn w:val="1"/>
    <w:qFormat/>
    <w:uiPriority w:val="34"/>
    <w:pPr>
      <w:ind w:firstLine="420" w:firstLineChars="200"/>
    </w:pPr>
  </w:style>
  <w:style w:type="paragraph" w:customStyle="1" w:styleId="9">
    <w:name w:val="Table Text"/>
    <w:semiHidden/>
    <w:qFormat/>
    <w:uiPriority w:val="0"/>
    <w:pPr>
      <w:widowControl w:val="0"/>
      <w:ind w:firstLine="723" w:firstLineChars="200"/>
      <w:jc w:val="both"/>
    </w:pPr>
    <w:rPr>
      <w:rFonts w:ascii="华文宋体" w:hAnsi="华文宋体" w:eastAsia="华文宋体" w:cs="华文宋体"/>
      <w:kern w:val="2"/>
      <w:sz w:val="24"/>
      <w:szCs w:val="24"/>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2774</Words>
  <Characters>2900</Characters>
  <Lines>0</Lines>
  <Paragraphs>0</Paragraphs>
  <TotalTime>3</TotalTime>
  <ScaleCrop>false</ScaleCrop>
  <LinksUpToDate>false</LinksUpToDate>
  <CharactersWithSpaces>2905</CharactersWithSpaces>
  <Application>WPS Office_6.5.1.8687_F1E327BC-269C-435d-A152-05C5408002CA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2026-03-10T08:40:00Z</dcterms:created>
  <dc:creator>珊珊</dc:creator>
  <cp:lastModifiedBy>张婷</cp:lastModifiedBy>
  <dcterms:modified xsi:type="dcterms:W3CDTF">2026-09-09T16:23:54Z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2052-6.5.1.8687</vt:lpwstr>
  </property>
  <property fmtid="{D5CDD505-2E9C-101B-9397-08002B2CF9AE}" pid="3" name="ICV">
    <vt:lpwstr>B53B5D769F63FCF19A17A16A0649F84F_43</vt:lpwstr>
  </property>
  <property fmtid="{D5CDD505-2E9C-101B-9397-08002B2CF9AE}" pid="4" name="KSOTemplateDocerSaveRecord">
    <vt:lpwstr>eyJoZGlkIjoiYmMwNjE5OTJiY2FlMTY3NmZhYWI5ZmU1MmZhNGRjZmYiLCJ1c2VySWQiOiIzMTg4NTMwMjQifQ==</vt:lpwstr>
  </property>
</Properties>
</file>